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20E3B7">
      <w:pPr>
        <w:adjustRightInd w:val="0"/>
        <w:spacing w:line="360" w:lineRule="auto"/>
        <w:jc w:val="center"/>
        <w:textAlignment w:val="baseline"/>
        <w:rPr>
          <w:rFonts w:ascii="宋体" w:hAnsi="宋体"/>
          <w:b/>
          <w:sz w:val="48"/>
          <w:szCs w:val="48"/>
        </w:rPr>
      </w:pPr>
    </w:p>
    <w:p w14:paraId="6219422D">
      <w:pPr>
        <w:adjustRightInd w:val="0"/>
        <w:spacing w:line="360" w:lineRule="auto"/>
        <w:jc w:val="center"/>
        <w:textAlignment w:val="baseline"/>
        <w:rPr>
          <w:rFonts w:ascii="宋体" w:hAnsi="宋体"/>
          <w:b/>
          <w:sz w:val="48"/>
          <w:szCs w:val="48"/>
        </w:rPr>
      </w:pPr>
    </w:p>
    <w:p w14:paraId="750311E3">
      <w:pPr>
        <w:adjustRightInd w:val="0"/>
        <w:spacing w:line="360" w:lineRule="auto"/>
        <w:jc w:val="center"/>
        <w:textAlignment w:val="baseline"/>
        <w:rPr>
          <w:rFonts w:ascii="宋体" w:hAnsi="宋体"/>
          <w:sz w:val="48"/>
          <w:szCs w:val="48"/>
        </w:rPr>
      </w:pPr>
    </w:p>
    <w:p w14:paraId="24B7AE37">
      <w:pPr>
        <w:adjustRightInd w:val="0"/>
        <w:spacing w:line="360" w:lineRule="auto"/>
        <w:jc w:val="center"/>
        <w:textAlignment w:val="baseline"/>
        <w:rPr>
          <w:rFonts w:ascii="宋体" w:hAnsi="宋体"/>
          <w:sz w:val="32"/>
        </w:rPr>
      </w:pPr>
    </w:p>
    <w:p w14:paraId="2F7C37E8">
      <w:pPr>
        <w:pStyle w:val="30"/>
        <w:spacing w:before="0" w:after="0" w:line="360" w:lineRule="auto"/>
        <w:rPr>
          <w:rFonts w:ascii="宋体" w:hAnsi="宋体"/>
          <w:sz w:val="96"/>
        </w:rPr>
      </w:pPr>
      <w:bookmarkStart w:id="0" w:name="_Toc449568588"/>
      <w:bookmarkStart w:id="1" w:name="_Toc26837"/>
      <w:bookmarkStart w:id="2" w:name="_Toc10758"/>
      <w:bookmarkStart w:id="3" w:name="_Toc3935"/>
      <w:r>
        <w:rPr>
          <w:rFonts w:hint="eastAsia" w:ascii="宋体" w:hAnsi="宋体"/>
          <w:sz w:val="96"/>
        </w:rPr>
        <w:t>竞争性磋商文件</w:t>
      </w:r>
      <w:bookmarkEnd w:id="0"/>
      <w:bookmarkEnd w:id="1"/>
      <w:bookmarkEnd w:id="2"/>
      <w:bookmarkEnd w:id="3"/>
    </w:p>
    <w:p w14:paraId="428E01DE">
      <w:pPr>
        <w:adjustRightInd w:val="0"/>
        <w:spacing w:line="360" w:lineRule="auto"/>
        <w:jc w:val="center"/>
        <w:textAlignment w:val="baseline"/>
        <w:rPr>
          <w:rFonts w:ascii="宋体" w:hAnsi="宋体"/>
          <w:sz w:val="36"/>
          <w:szCs w:val="36"/>
        </w:rPr>
      </w:pPr>
    </w:p>
    <w:p w14:paraId="1086AF85">
      <w:pPr>
        <w:adjustRightInd w:val="0"/>
        <w:spacing w:line="360" w:lineRule="auto"/>
        <w:jc w:val="center"/>
        <w:textAlignment w:val="baseline"/>
        <w:rPr>
          <w:rFonts w:ascii="宋体" w:hAnsi="宋体"/>
          <w:sz w:val="36"/>
          <w:szCs w:val="36"/>
        </w:rPr>
      </w:pPr>
    </w:p>
    <w:p w14:paraId="5110B6D3">
      <w:pPr>
        <w:pStyle w:val="48"/>
        <w:numPr>
          <w:ilvl w:val="1"/>
          <w:numId w:val="0"/>
        </w:numPr>
        <w:tabs>
          <w:tab w:val="clear" w:pos="840"/>
        </w:tabs>
        <w:ind w:left="420" w:leftChars="0"/>
        <w:rPr>
          <w:rFonts w:ascii="宋体" w:hAnsi="宋体"/>
          <w:sz w:val="36"/>
          <w:szCs w:val="36"/>
        </w:rPr>
      </w:pPr>
    </w:p>
    <w:p w14:paraId="41DC34AF">
      <w:pPr>
        <w:pStyle w:val="50"/>
      </w:pPr>
    </w:p>
    <w:p w14:paraId="4D369E13">
      <w:pPr>
        <w:pStyle w:val="13"/>
      </w:pPr>
    </w:p>
    <w:p w14:paraId="5BA20BDE">
      <w:pPr>
        <w:pStyle w:val="51"/>
        <w:outlineLvl w:val="9"/>
      </w:pPr>
    </w:p>
    <w:p w14:paraId="51E9DD28">
      <w:pPr>
        <w:pStyle w:val="50"/>
        <w:ind w:firstLine="420"/>
      </w:pPr>
    </w:p>
    <w:p w14:paraId="036C9941">
      <w:pPr>
        <w:adjustRightInd w:val="0"/>
        <w:spacing w:line="360" w:lineRule="auto"/>
        <w:textAlignment w:val="baseline"/>
        <w:rPr>
          <w:rFonts w:ascii="宋体" w:hAnsi="宋体"/>
          <w:sz w:val="36"/>
          <w:szCs w:val="36"/>
        </w:rPr>
      </w:pPr>
    </w:p>
    <w:p w14:paraId="49CBB453">
      <w:pPr>
        <w:spacing w:line="360" w:lineRule="auto"/>
        <w:ind w:right="-638" w:rightChars="-304" w:firstLine="643" w:firstLineChars="200"/>
        <w:jc w:val="left"/>
        <w:outlineLvl w:val="0"/>
        <w:rPr>
          <w:rFonts w:hint="eastAsia" w:ascii="宋体" w:hAnsi="宋体" w:eastAsia="宋体" w:cs="宋体"/>
          <w:b/>
          <w:bCs/>
          <w:sz w:val="32"/>
          <w:szCs w:val="32"/>
          <w:lang w:eastAsia="zh-CN"/>
        </w:rPr>
      </w:pPr>
      <w:bookmarkStart w:id="4" w:name="_Toc13526"/>
      <w:bookmarkStart w:id="5" w:name="_Toc539"/>
      <w:bookmarkStart w:id="6" w:name="_Toc23782"/>
      <w:r>
        <w:rPr>
          <w:rFonts w:hint="eastAsia" w:ascii="宋体" w:hAnsi="宋体" w:cs="宋体"/>
          <w:b/>
          <w:bCs/>
          <w:sz w:val="32"/>
          <w:szCs w:val="32"/>
        </w:rPr>
        <w:t>采购项目名称：</w:t>
      </w:r>
      <w:bookmarkEnd w:id="4"/>
      <w:bookmarkEnd w:id="5"/>
      <w:bookmarkEnd w:id="6"/>
      <w:r>
        <w:rPr>
          <w:rFonts w:hint="eastAsia" w:ascii="宋体" w:hAnsi="宋体" w:cs="宋体"/>
          <w:b/>
          <w:bCs/>
          <w:sz w:val="32"/>
          <w:szCs w:val="32"/>
          <w:lang w:eastAsia="zh-CN"/>
        </w:rPr>
        <w:t>青海省养老服务中心食堂餐饮管理服务项目</w:t>
      </w:r>
    </w:p>
    <w:p w14:paraId="29F6A6E1">
      <w:pPr>
        <w:spacing w:line="360" w:lineRule="auto"/>
        <w:ind w:firstLine="643" w:firstLineChars="200"/>
        <w:jc w:val="left"/>
        <w:rPr>
          <w:rFonts w:hint="eastAsia" w:ascii="宋体" w:hAnsi="宋体" w:eastAsia="宋体" w:cs="宋体"/>
          <w:b/>
          <w:bCs/>
          <w:sz w:val="32"/>
          <w:szCs w:val="32"/>
          <w:lang w:eastAsia="zh-CN"/>
        </w:rPr>
      </w:pPr>
      <w:r>
        <w:rPr>
          <w:rFonts w:hint="eastAsia" w:ascii="宋体" w:hAnsi="宋体" w:cs="宋体"/>
          <w:b/>
          <w:bCs/>
          <w:sz w:val="32"/>
          <w:szCs w:val="32"/>
        </w:rPr>
        <w:t>采购项目编号：</w:t>
      </w:r>
      <w:r>
        <w:rPr>
          <w:rFonts w:hint="eastAsia" w:ascii="宋体" w:hAnsi="宋体" w:cs="宋体"/>
          <w:b/>
          <w:bCs/>
          <w:sz w:val="32"/>
          <w:szCs w:val="32"/>
          <w:lang w:eastAsia="zh-CN"/>
        </w:rPr>
        <w:t>青海国德竞磋（服务）2025-037</w:t>
      </w:r>
    </w:p>
    <w:p w14:paraId="7CC5AE42">
      <w:pPr>
        <w:spacing w:line="360" w:lineRule="auto"/>
        <w:ind w:firstLine="643" w:firstLineChars="200"/>
        <w:jc w:val="left"/>
        <w:outlineLvl w:val="0"/>
        <w:rPr>
          <w:rFonts w:hint="eastAsia" w:ascii="宋体" w:hAnsi="宋体" w:eastAsia="宋体" w:cs="宋体"/>
          <w:b/>
          <w:bCs/>
          <w:sz w:val="32"/>
          <w:szCs w:val="32"/>
          <w:lang w:eastAsia="zh-CN"/>
        </w:rPr>
      </w:pPr>
      <w:bookmarkStart w:id="7" w:name="_Toc12939"/>
      <w:bookmarkStart w:id="8" w:name="_Toc32470"/>
      <w:bookmarkStart w:id="9" w:name="_Toc28765"/>
      <w:r>
        <w:rPr>
          <w:rFonts w:hint="eastAsia" w:ascii="宋体" w:hAnsi="宋体" w:cs="宋体"/>
          <w:b/>
          <w:bCs/>
          <w:sz w:val="32"/>
          <w:szCs w:val="32"/>
        </w:rPr>
        <w:t>采 购  单 位：</w:t>
      </w:r>
      <w:bookmarkEnd w:id="7"/>
      <w:bookmarkEnd w:id="8"/>
      <w:bookmarkEnd w:id="9"/>
      <w:r>
        <w:rPr>
          <w:rFonts w:hint="eastAsia" w:ascii="宋体" w:hAnsi="宋体" w:cs="宋体"/>
          <w:b/>
          <w:bCs/>
          <w:sz w:val="32"/>
          <w:szCs w:val="32"/>
          <w:lang w:eastAsia="zh-CN"/>
        </w:rPr>
        <w:t>青海省养老服务中心</w:t>
      </w:r>
    </w:p>
    <w:p w14:paraId="0CE02880">
      <w:pPr>
        <w:spacing w:line="360" w:lineRule="auto"/>
        <w:ind w:right="170" w:rightChars="81" w:firstLine="643" w:firstLineChars="200"/>
        <w:jc w:val="left"/>
        <w:rPr>
          <w:rFonts w:ascii="宋体" w:hAnsi="宋体" w:cs="宋体"/>
          <w:b/>
          <w:bCs/>
          <w:sz w:val="32"/>
          <w:szCs w:val="32"/>
        </w:rPr>
      </w:pPr>
      <w:r>
        <w:rPr>
          <w:rFonts w:hint="eastAsia" w:ascii="宋体" w:hAnsi="宋体" w:cs="宋体"/>
          <w:b/>
          <w:bCs/>
          <w:sz w:val="32"/>
          <w:szCs w:val="32"/>
        </w:rPr>
        <w:t>采购代理机构：青海国德招标代理有限公司</w:t>
      </w:r>
    </w:p>
    <w:p w14:paraId="582E854C">
      <w:pPr>
        <w:spacing w:line="480" w:lineRule="auto"/>
        <w:jc w:val="left"/>
        <w:rPr>
          <w:rFonts w:ascii="宋体" w:hAnsi="宋体" w:cs="宋体"/>
          <w:b/>
          <w:bCs/>
          <w:sz w:val="32"/>
          <w:szCs w:val="32"/>
        </w:rPr>
      </w:pPr>
    </w:p>
    <w:p w14:paraId="6D5142E5">
      <w:pPr>
        <w:spacing w:line="480" w:lineRule="auto"/>
        <w:jc w:val="center"/>
        <w:rPr>
          <w:rFonts w:hint="eastAsia" w:ascii="宋体" w:hAnsi="宋体" w:eastAsia="宋体"/>
          <w:b/>
          <w:bCs/>
          <w:sz w:val="32"/>
          <w:szCs w:val="32"/>
          <w:lang w:eastAsia="zh-CN"/>
        </w:rPr>
      </w:pPr>
      <w:r>
        <w:rPr>
          <w:rFonts w:hint="eastAsia" w:ascii="宋体" w:hAnsi="宋体" w:cs="宋体"/>
          <w:b/>
          <w:bCs/>
          <w:sz w:val="32"/>
          <w:szCs w:val="32"/>
          <w:lang w:eastAsia="zh-CN"/>
        </w:rPr>
        <w:t>2025年06月</w:t>
      </w:r>
    </w:p>
    <w:p w14:paraId="040F1018">
      <w:pPr>
        <w:spacing w:line="360" w:lineRule="auto"/>
        <w:jc w:val="center"/>
        <w:outlineLvl w:val="9"/>
        <w:rPr>
          <w:rFonts w:ascii="宋体" w:hAnsi="宋体"/>
          <w:b/>
          <w:sz w:val="28"/>
          <w:szCs w:val="28"/>
        </w:rPr>
        <w:sectPr>
          <w:headerReference r:id="rId5" w:type="first"/>
          <w:headerReference r:id="rId3" w:type="default"/>
          <w:footerReference r:id="rId6" w:type="default"/>
          <w:headerReference r:id="rId4" w:type="even"/>
          <w:footerReference r:id="rId7" w:type="even"/>
          <w:pgSz w:w="11906" w:h="16838"/>
          <w:pgMar w:top="1553" w:right="1419" w:bottom="1553" w:left="1247" w:header="851" w:footer="992" w:gutter="0"/>
          <w:pgNumType w:start="0"/>
          <w:cols w:space="720" w:num="1"/>
          <w:titlePg/>
          <w:docGrid w:linePitch="312" w:charSpace="0"/>
        </w:sectPr>
      </w:pPr>
    </w:p>
    <w:sdt>
      <w:sdtPr>
        <w:rPr>
          <w:rFonts w:ascii="宋体" w:hAnsi="宋体" w:eastAsia="宋体" w:cs="Times New Roman"/>
          <w:kern w:val="2"/>
          <w:sz w:val="28"/>
          <w:szCs w:val="28"/>
          <w:lang w:val="en-US" w:eastAsia="zh-CN" w:bidi="ar-SA"/>
        </w:rPr>
        <w:id w:val="147465543"/>
        <w15:color w:val="DBDBDB"/>
        <w:docPartObj>
          <w:docPartGallery w:val="Table of Contents"/>
          <w:docPartUnique/>
        </w:docPartObj>
      </w:sdtPr>
      <w:sdtEndPr>
        <w:rPr>
          <w:rFonts w:ascii="宋体" w:hAnsi="宋体" w:eastAsia="宋体" w:cs="Times New Roman"/>
          <w:kern w:val="2"/>
          <w:sz w:val="28"/>
          <w:szCs w:val="28"/>
          <w:lang w:val="en-US" w:eastAsia="zh-CN" w:bidi="ar-SA"/>
        </w:rPr>
      </w:sdtEndPr>
      <w:sdtContent>
        <w:p w14:paraId="3D7E892A">
          <w:pPr>
            <w:spacing w:before="0" w:beforeLines="0" w:after="0" w:afterLines="0" w:line="240" w:lineRule="auto"/>
            <w:ind w:left="0" w:leftChars="0" w:right="0" w:rightChars="0" w:firstLine="0" w:firstLineChars="0"/>
            <w:jc w:val="center"/>
          </w:pPr>
          <w:bookmarkStart w:id="10" w:name="_Toc444715732"/>
          <w:r>
            <w:rPr>
              <w:rFonts w:ascii="宋体" w:hAnsi="宋体" w:eastAsia="宋体"/>
              <w:sz w:val="28"/>
              <w:szCs w:val="28"/>
            </w:rPr>
            <w:t>目录</w:t>
          </w:r>
          <w:r>
            <w:fldChar w:fldCharType="begin"/>
          </w:r>
          <w:r>
            <w:instrText xml:space="preserve">TOC \o "1-3" \h \u </w:instrText>
          </w:r>
          <w:r>
            <w:fldChar w:fldCharType="separate"/>
          </w:r>
        </w:p>
        <w:p w14:paraId="5931EB61">
          <w:pPr>
            <w:pStyle w:val="23"/>
            <w:keepNext w:val="0"/>
            <w:keepLines w:val="0"/>
            <w:pageBreakBefore w:val="0"/>
            <w:tabs>
              <w:tab w:val="right" w:leader="dot" w:pos="9412"/>
              <w:tab w:val="clear" w:pos="829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_Toc372 </w:instrText>
          </w:r>
          <w:r>
            <w:rPr>
              <w:rFonts w:hint="eastAsia" w:ascii="宋体" w:hAnsi="宋体" w:eastAsia="宋体" w:cs="宋体"/>
              <w:sz w:val="24"/>
              <w:szCs w:val="24"/>
            </w:rPr>
            <w:fldChar w:fldCharType="separate"/>
          </w:r>
          <w:r>
            <w:rPr>
              <w:rFonts w:hint="eastAsia" w:ascii="宋体" w:hAnsi="宋体" w:eastAsia="宋体" w:cs="宋体"/>
              <w:bCs/>
              <w:sz w:val="24"/>
              <w:szCs w:val="24"/>
            </w:rPr>
            <w:t>第一部分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_Toc372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F5D9F47">
          <w:pPr>
            <w:pStyle w:val="23"/>
            <w:keepNext w:val="0"/>
            <w:keepLines w:val="0"/>
            <w:pageBreakBefore w:val="0"/>
            <w:tabs>
              <w:tab w:val="right" w:leader="dot" w:pos="9412"/>
              <w:tab w:val="clear" w:pos="829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_Toc27981 </w:instrText>
          </w:r>
          <w:r>
            <w:rPr>
              <w:rFonts w:hint="eastAsia" w:ascii="宋体" w:hAnsi="宋体" w:eastAsia="宋体" w:cs="宋体"/>
              <w:sz w:val="24"/>
              <w:szCs w:val="24"/>
            </w:rPr>
            <w:fldChar w:fldCharType="separate"/>
          </w:r>
          <w:r>
            <w:rPr>
              <w:rFonts w:hint="eastAsia" w:ascii="宋体" w:hAnsi="宋体" w:eastAsia="宋体" w:cs="宋体"/>
              <w:sz w:val="24"/>
              <w:szCs w:val="24"/>
            </w:rPr>
            <w:t>第二部分  磋商供应商须知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_Toc27981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A99FA0D">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_Toc30166 </w:instrText>
          </w:r>
          <w:r>
            <w:rPr>
              <w:rFonts w:hint="eastAsia" w:ascii="宋体" w:hAnsi="宋体" w:eastAsia="宋体" w:cs="宋体"/>
              <w:sz w:val="24"/>
              <w:szCs w:val="24"/>
            </w:rPr>
            <w:fldChar w:fldCharType="separate"/>
          </w:r>
          <w:r>
            <w:rPr>
              <w:rFonts w:hint="eastAsia" w:ascii="宋体" w:hAnsi="宋体" w:eastAsia="宋体" w:cs="宋体"/>
              <w:sz w:val="24"/>
              <w:szCs w:val="24"/>
            </w:rPr>
            <w:t>一、说明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_Toc30166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391ED99">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_Toc24332 </w:instrText>
          </w:r>
          <w:r>
            <w:rPr>
              <w:rFonts w:hint="eastAsia" w:ascii="宋体" w:hAnsi="宋体" w:eastAsia="宋体" w:cs="宋体"/>
              <w:sz w:val="24"/>
              <w:szCs w:val="24"/>
            </w:rPr>
            <w:fldChar w:fldCharType="separate"/>
          </w:r>
          <w:r>
            <w:rPr>
              <w:rFonts w:hint="eastAsia" w:ascii="宋体" w:hAnsi="宋体" w:eastAsia="宋体" w:cs="宋体"/>
              <w:sz w:val="24"/>
              <w:szCs w:val="24"/>
            </w:rPr>
            <w:t>二、磋商文件说明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_Toc24332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715D7DA">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_Toc28879 </w:instrText>
          </w:r>
          <w:r>
            <w:rPr>
              <w:rFonts w:hint="eastAsia" w:ascii="宋体" w:hAnsi="宋体" w:eastAsia="宋体" w:cs="宋体"/>
              <w:sz w:val="24"/>
              <w:szCs w:val="24"/>
            </w:rPr>
            <w:fldChar w:fldCharType="separate"/>
          </w:r>
          <w:r>
            <w:rPr>
              <w:rFonts w:hint="eastAsia" w:ascii="宋体" w:hAnsi="宋体" w:eastAsia="宋体" w:cs="宋体"/>
              <w:sz w:val="24"/>
              <w:szCs w:val="24"/>
            </w:rPr>
            <w:t>三、磋商响应文件的编写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_Toc28879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D85105C">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_Toc9812 </w:instrText>
          </w:r>
          <w:r>
            <w:rPr>
              <w:rFonts w:hint="eastAsia" w:ascii="宋体" w:hAnsi="宋体" w:eastAsia="宋体" w:cs="宋体"/>
              <w:sz w:val="24"/>
              <w:szCs w:val="24"/>
            </w:rPr>
            <w:fldChar w:fldCharType="separate"/>
          </w:r>
          <w:r>
            <w:rPr>
              <w:rFonts w:hint="eastAsia" w:ascii="宋体" w:hAnsi="宋体" w:eastAsia="宋体" w:cs="宋体"/>
              <w:sz w:val="24"/>
              <w:szCs w:val="24"/>
            </w:rPr>
            <w:t>四、磋商响应文件的递交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_Toc9812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DA0F3A8">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_Toc24906 </w:instrText>
          </w:r>
          <w:r>
            <w:rPr>
              <w:rFonts w:hint="eastAsia" w:ascii="宋体" w:hAnsi="宋体" w:eastAsia="宋体" w:cs="宋体"/>
              <w:sz w:val="24"/>
              <w:szCs w:val="24"/>
            </w:rPr>
            <w:fldChar w:fldCharType="separate"/>
          </w:r>
          <w:r>
            <w:rPr>
              <w:rFonts w:hint="eastAsia" w:ascii="宋体" w:hAnsi="宋体" w:eastAsia="宋体" w:cs="宋体"/>
              <w:sz w:val="24"/>
              <w:szCs w:val="24"/>
            </w:rPr>
            <w:t>五、磋商过程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_Toc24906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CFBB6A7">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_Toc19585 </w:instrText>
          </w:r>
          <w:r>
            <w:rPr>
              <w:rFonts w:hint="eastAsia" w:ascii="宋体" w:hAnsi="宋体" w:eastAsia="宋体" w:cs="宋体"/>
              <w:sz w:val="24"/>
              <w:szCs w:val="24"/>
            </w:rPr>
            <w:fldChar w:fldCharType="separate"/>
          </w:r>
          <w:r>
            <w:rPr>
              <w:rFonts w:hint="eastAsia" w:ascii="宋体" w:hAnsi="宋体" w:eastAsia="宋体" w:cs="宋体"/>
              <w:sz w:val="24"/>
              <w:szCs w:val="24"/>
            </w:rPr>
            <w:t>六、评审程序及方法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_Toc19585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C621BF6">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_Toc16903 </w:instrText>
          </w:r>
          <w:r>
            <w:rPr>
              <w:rFonts w:hint="eastAsia" w:ascii="宋体" w:hAnsi="宋体" w:eastAsia="宋体" w:cs="宋体"/>
              <w:sz w:val="24"/>
              <w:szCs w:val="24"/>
            </w:rPr>
            <w:fldChar w:fldCharType="separate"/>
          </w:r>
          <w:r>
            <w:rPr>
              <w:rFonts w:hint="eastAsia" w:ascii="宋体" w:hAnsi="宋体" w:eastAsia="宋体" w:cs="宋体"/>
              <w:sz w:val="24"/>
              <w:szCs w:val="24"/>
            </w:rPr>
            <w:t>七、确定成交供应商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_Toc16903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ACF089E">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_Toc16221 </w:instrText>
          </w:r>
          <w:r>
            <w:rPr>
              <w:rFonts w:hint="eastAsia" w:ascii="宋体" w:hAnsi="宋体" w:eastAsia="宋体" w:cs="宋体"/>
              <w:sz w:val="24"/>
              <w:szCs w:val="24"/>
            </w:rPr>
            <w:fldChar w:fldCharType="separate"/>
          </w:r>
          <w:r>
            <w:rPr>
              <w:rFonts w:hint="eastAsia" w:ascii="宋体" w:hAnsi="宋体" w:eastAsia="宋体" w:cs="宋体"/>
              <w:sz w:val="24"/>
              <w:szCs w:val="24"/>
            </w:rPr>
            <w:t>八、授予合同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_Toc16221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3B17BB7">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_Toc23536 </w:instrText>
          </w:r>
          <w:r>
            <w:rPr>
              <w:rFonts w:hint="eastAsia" w:ascii="宋体" w:hAnsi="宋体" w:eastAsia="宋体" w:cs="宋体"/>
              <w:sz w:val="24"/>
              <w:szCs w:val="24"/>
            </w:rPr>
            <w:fldChar w:fldCharType="separate"/>
          </w:r>
          <w:r>
            <w:rPr>
              <w:rFonts w:hint="eastAsia" w:ascii="宋体" w:hAnsi="宋体" w:eastAsia="宋体" w:cs="宋体"/>
              <w:sz w:val="24"/>
              <w:szCs w:val="24"/>
            </w:rPr>
            <w:t>九、串通磋商的认定及处理办法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_Toc23536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5C2204E">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_Toc6357 </w:instrText>
          </w:r>
          <w:r>
            <w:rPr>
              <w:rFonts w:hint="eastAsia" w:ascii="宋体" w:hAnsi="宋体" w:eastAsia="宋体" w:cs="宋体"/>
              <w:sz w:val="24"/>
              <w:szCs w:val="24"/>
            </w:rPr>
            <w:fldChar w:fldCharType="separate"/>
          </w:r>
          <w:r>
            <w:rPr>
              <w:rFonts w:hint="eastAsia" w:ascii="宋体" w:hAnsi="宋体" w:eastAsia="宋体" w:cs="宋体"/>
              <w:sz w:val="24"/>
              <w:szCs w:val="24"/>
            </w:rPr>
            <w:t>十、磋商活动终止</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_Toc6357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EF2C65E">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_Toc5891 </w:instrText>
          </w:r>
          <w:r>
            <w:rPr>
              <w:rFonts w:hint="eastAsia" w:ascii="宋体" w:hAnsi="宋体" w:eastAsia="宋体" w:cs="宋体"/>
              <w:sz w:val="24"/>
              <w:szCs w:val="24"/>
            </w:rPr>
            <w:fldChar w:fldCharType="separate"/>
          </w:r>
          <w:r>
            <w:rPr>
              <w:rFonts w:hint="eastAsia" w:ascii="宋体" w:hAnsi="宋体" w:eastAsia="宋体" w:cs="宋体"/>
              <w:sz w:val="24"/>
              <w:szCs w:val="24"/>
            </w:rPr>
            <w:t>十一、处罚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_Toc5891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FD6C49F">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_Toc30266 </w:instrText>
          </w:r>
          <w:r>
            <w:rPr>
              <w:rFonts w:hint="eastAsia" w:ascii="宋体" w:hAnsi="宋体" w:eastAsia="宋体" w:cs="宋体"/>
              <w:sz w:val="24"/>
              <w:szCs w:val="24"/>
            </w:rPr>
            <w:fldChar w:fldCharType="separate"/>
          </w:r>
          <w:r>
            <w:rPr>
              <w:rFonts w:hint="eastAsia" w:ascii="宋体" w:hAnsi="宋体" w:eastAsia="宋体" w:cs="宋体"/>
              <w:sz w:val="24"/>
              <w:szCs w:val="24"/>
            </w:rPr>
            <w:t>十二、其他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_Toc30266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741FC69">
          <w:pPr>
            <w:pStyle w:val="23"/>
            <w:keepNext w:val="0"/>
            <w:keepLines w:val="0"/>
            <w:pageBreakBefore w:val="0"/>
            <w:tabs>
              <w:tab w:val="right" w:leader="dot" w:pos="9412"/>
              <w:tab w:val="clear" w:pos="829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_Toc27011 </w:instrText>
          </w:r>
          <w:r>
            <w:rPr>
              <w:rFonts w:hint="eastAsia" w:ascii="宋体" w:hAnsi="宋体" w:eastAsia="宋体" w:cs="宋体"/>
              <w:sz w:val="24"/>
              <w:szCs w:val="24"/>
            </w:rPr>
            <w:fldChar w:fldCharType="separate"/>
          </w:r>
          <w:r>
            <w:rPr>
              <w:rFonts w:hint="eastAsia" w:ascii="宋体" w:hAnsi="宋体" w:eastAsia="宋体" w:cs="宋体"/>
              <w:sz w:val="24"/>
              <w:szCs w:val="24"/>
            </w:rPr>
            <w:t>第三部分 青海省政府采购合同文本样式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_Toc27011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9762905">
          <w:pPr>
            <w:pStyle w:val="23"/>
            <w:keepNext w:val="0"/>
            <w:keepLines w:val="0"/>
            <w:pageBreakBefore w:val="0"/>
            <w:tabs>
              <w:tab w:val="right" w:leader="dot" w:pos="9412"/>
              <w:tab w:val="clear" w:pos="829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_Toc26623 </w:instrText>
          </w:r>
          <w:r>
            <w:rPr>
              <w:rFonts w:hint="eastAsia" w:ascii="宋体" w:hAnsi="宋体" w:eastAsia="宋体" w:cs="宋体"/>
              <w:sz w:val="24"/>
              <w:szCs w:val="24"/>
            </w:rPr>
            <w:fldChar w:fldCharType="separate"/>
          </w:r>
          <w:r>
            <w:rPr>
              <w:rFonts w:hint="eastAsia" w:ascii="宋体" w:hAnsi="宋体" w:eastAsia="宋体" w:cs="宋体"/>
              <w:sz w:val="24"/>
              <w:szCs w:val="24"/>
            </w:rPr>
            <w:t>第四部分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磋商响应文件格式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_Toc26623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15AC419">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_Toc10246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格式1、磋商函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_Toc10246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18DB85A">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_Toc25799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格式2、法定代表人证明书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_Toc25799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0EECF1F">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_Toc17277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格式3、法定代表人授权书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_Toc17277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2FC9699">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_Toc18106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格式4、磋商供应商承诺书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_Toc18106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18299C0">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_Toc4923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格式5、供应商诚信承诺书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_Toc4923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70659AA">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_Toc17873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格式6、资格证明材料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_Toc17873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8A7CCFE">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_Toc11499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格式7、财务状况、缴纳税收和社会保障资金证明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_Toc11499 \h </w:instrText>
          </w:r>
          <w:r>
            <w:rPr>
              <w:rFonts w:hint="eastAsia" w:ascii="宋体" w:hAnsi="宋体" w:eastAsia="宋体" w:cs="宋体"/>
              <w:sz w:val="24"/>
              <w:szCs w:val="24"/>
            </w:rPr>
            <w:fldChar w:fldCharType="separate"/>
          </w:r>
          <w:r>
            <w:rPr>
              <w:rFonts w:hint="eastAsia" w:ascii="宋体" w:hAnsi="宋体" w:eastAsia="宋体" w:cs="宋体"/>
              <w:sz w:val="24"/>
              <w:szCs w:val="24"/>
            </w:rPr>
            <w:t>41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624D724">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_Toc12536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格式8、具备履行合同所必须的设备和专业技术能力证明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_Toc12536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F73D841">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_Toc24183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w:t>
          </w:r>
          <w:r>
            <w:rPr>
              <w:rFonts w:hint="eastAsia" w:ascii="宋体" w:hAnsi="宋体" w:eastAsia="宋体" w:cs="宋体"/>
              <w:sz w:val="24"/>
              <w:szCs w:val="24"/>
            </w:rPr>
            <w:t>9</w:t>
          </w:r>
          <w:r>
            <w:rPr>
              <w:rFonts w:hint="eastAsia" w:ascii="宋体" w:hAnsi="宋体" w:eastAsia="宋体" w:cs="宋体"/>
              <w:sz w:val="24"/>
              <w:szCs w:val="24"/>
              <w:lang w:val="zh-CN"/>
            </w:rPr>
            <w:t>、无重大违法记录声明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_Toc24183 \h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067BD08">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_Toc6049 </w:instrText>
          </w:r>
          <w:r>
            <w:rPr>
              <w:rFonts w:hint="eastAsia" w:ascii="宋体" w:hAnsi="宋体" w:eastAsia="宋体" w:cs="宋体"/>
              <w:sz w:val="24"/>
              <w:szCs w:val="24"/>
            </w:rPr>
            <w:fldChar w:fldCharType="separate"/>
          </w:r>
          <w:r>
            <w:rPr>
              <w:rFonts w:hint="eastAsia" w:ascii="宋体" w:hAnsi="宋体" w:eastAsia="宋体" w:cs="宋体"/>
              <w:sz w:val="24"/>
              <w:szCs w:val="24"/>
            </w:rPr>
            <w:t>格式</w:t>
          </w:r>
          <w:r>
            <w:rPr>
              <w:rFonts w:hint="eastAsia" w:ascii="宋体" w:hAnsi="宋体" w:eastAsia="宋体" w:cs="宋体"/>
              <w:sz w:val="24"/>
              <w:szCs w:val="24"/>
              <w:lang w:val="en-US" w:eastAsia="zh-CN"/>
            </w:rPr>
            <w:t>10</w:t>
          </w:r>
          <w:r>
            <w:rPr>
              <w:rFonts w:hint="eastAsia" w:ascii="宋体" w:hAnsi="宋体" w:eastAsia="宋体" w:cs="宋体"/>
              <w:sz w:val="24"/>
              <w:szCs w:val="24"/>
            </w:rPr>
            <w:t>、磋商保证金证明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_Toc6049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13B1657">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_Toc28896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w:t>
          </w:r>
          <w:r>
            <w:rPr>
              <w:rFonts w:hint="eastAsia" w:ascii="宋体" w:hAnsi="宋体" w:eastAsia="宋体" w:cs="宋体"/>
              <w:sz w:val="24"/>
              <w:szCs w:val="24"/>
              <w:lang w:val="en-US" w:eastAsia="zh-CN"/>
            </w:rPr>
            <w:t>11</w:t>
          </w:r>
          <w:r>
            <w:rPr>
              <w:rFonts w:hint="eastAsia" w:ascii="宋体" w:hAnsi="宋体" w:eastAsia="宋体" w:cs="宋体"/>
              <w:sz w:val="24"/>
              <w:szCs w:val="24"/>
              <w:lang w:val="zh-CN"/>
            </w:rPr>
            <w:t>、评分对照表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_Toc28896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EC7BCD6">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_Toc14815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格式1</w:t>
          </w:r>
          <w:r>
            <w:rPr>
              <w:rFonts w:hint="eastAsia" w:ascii="宋体" w:hAnsi="宋体" w:eastAsia="宋体" w:cs="宋体"/>
              <w:sz w:val="24"/>
              <w:szCs w:val="24"/>
              <w:lang w:val="en-US" w:eastAsia="zh-CN"/>
            </w:rPr>
            <w:t>2</w:t>
          </w:r>
          <w:r>
            <w:rPr>
              <w:rFonts w:hint="eastAsia" w:ascii="宋体" w:hAnsi="宋体" w:eastAsia="宋体" w:cs="宋体"/>
              <w:sz w:val="24"/>
              <w:szCs w:val="24"/>
              <w:lang w:val="zh-CN"/>
            </w:rPr>
            <w:t>、</w:t>
          </w:r>
          <w:r>
            <w:rPr>
              <w:rFonts w:hint="eastAsia" w:ascii="宋体" w:hAnsi="宋体" w:eastAsia="宋体" w:cs="宋体"/>
              <w:sz w:val="24"/>
              <w:szCs w:val="24"/>
            </w:rPr>
            <w:t>竞争性磋商首次报价表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_Toc14815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32AD05E">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_Toc30686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zh-CN"/>
            </w:rPr>
            <w:t>格式1</w:t>
          </w:r>
          <w:r>
            <w:rPr>
              <w:rFonts w:hint="eastAsia" w:ascii="宋体" w:hAnsi="宋体" w:eastAsia="宋体" w:cs="宋体"/>
              <w:bCs/>
              <w:sz w:val="24"/>
              <w:szCs w:val="24"/>
              <w:lang w:val="en-US" w:eastAsia="zh-CN"/>
            </w:rPr>
            <w:t>3</w:t>
          </w:r>
          <w:r>
            <w:rPr>
              <w:rFonts w:hint="eastAsia" w:ascii="宋体" w:hAnsi="宋体" w:eastAsia="宋体" w:cs="宋体"/>
              <w:bCs/>
              <w:sz w:val="24"/>
              <w:szCs w:val="24"/>
              <w:lang w:val="zh-CN"/>
            </w:rPr>
            <w:t>、服务要求响应表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_Toc30686 \h </w:instrText>
          </w:r>
          <w:r>
            <w:rPr>
              <w:rFonts w:hint="eastAsia" w:ascii="宋体" w:hAnsi="宋体" w:eastAsia="宋体" w:cs="宋体"/>
              <w:sz w:val="24"/>
              <w:szCs w:val="24"/>
            </w:rPr>
            <w:fldChar w:fldCharType="separate"/>
          </w:r>
          <w:r>
            <w:rPr>
              <w:rFonts w:hint="eastAsia" w:ascii="宋体" w:hAnsi="宋体" w:eastAsia="宋体" w:cs="宋体"/>
              <w:sz w:val="24"/>
              <w:szCs w:val="24"/>
            </w:rPr>
            <w:t>47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E56CA23">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_Toc27997 </w:instrText>
          </w:r>
          <w:r>
            <w:rPr>
              <w:rFonts w:hint="eastAsia" w:ascii="宋体" w:hAnsi="宋体" w:eastAsia="宋体" w:cs="宋体"/>
              <w:sz w:val="24"/>
              <w:szCs w:val="24"/>
            </w:rPr>
            <w:fldChar w:fldCharType="separate"/>
          </w:r>
          <w:r>
            <w:rPr>
              <w:rFonts w:hint="eastAsia" w:ascii="宋体" w:hAnsi="宋体" w:eastAsia="宋体" w:cs="宋体"/>
              <w:sz w:val="24"/>
              <w:szCs w:val="24"/>
            </w:rPr>
            <w:t>格式1</w:t>
          </w:r>
          <w:r>
            <w:rPr>
              <w:rFonts w:hint="eastAsia" w:ascii="宋体" w:hAnsi="宋体" w:eastAsia="宋体" w:cs="宋体"/>
              <w:sz w:val="24"/>
              <w:szCs w:val="24"/>
              <w:lang w:val="en-US" w:eastAsia="zh-CN"/>
            </w:rPr>
            <w:t>4</w:t>
          </w:r>
          <w:r>
            <w:rPr>
              <w:rFonts w:hint="eastAsia" w:ascii="宋体" w:hAnsi="宋体" w:eastAsia="宋体" w:cs="宋体"/>
              <w:sz w:val="24"/>
              <w:szCs w:val="24"/>
            </w:rPr>
            <w:t>、供应商基本情况表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_Toc27997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9E6D3A6">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_Toc20250 </w:instrText>
          </w:r>
          <w:r>
            <w:rPr>
              <w:rFonts w:hint="eastAsia" w:ascii="宋体" w:hAnsi="宋体" w:eastAsia="宋体" w:cs="宋体"/>
              <w:sz w:val="24"/>
              <w:szCs w:val="24"/>
            </w:rPr>
            <w:fldChar w:fldCharType="separate"/>
          </w:r>
          <w:r>
            <w:rPr>
              <w:rFonts w:hint="eastAsia" w:ascii="宋体" w:hAnsi="宋体" w:eastAsia="宋体" w:cs="宋体"/>
              <w:sz w:val="24"/>
              <w:szCs w:val="24"/>
            </w:rPr>
            <w:t>格式1</w:t>
          </w:r>
          <w:r>
            <w:rPr>
              <w:rFonts w:hint="eastAsia" w:ascii="宋体" w:hAnsi="宋体" w:eastAsia="宋体" w:cs="宋体"/>
              <w:sz w:val="24"/>
              <w:szCs w:val="24"/>
              <w:lang w:val="en-US" w:eastAsia="zh-CN"/>
            </w:rPr>
            <w:t>5</w:t>
          </w:r>
          <w:r>
            <w:rPr>
              <w:rFonts w:hint="eastAsia" w:ascii="宋体" w:hAnsi="宋体" w:eastAsia="宋体" w:cs="宋体"/>
              <w:sz w:val="24"/>
              <w:szCs w:val="24"/>
            </w:rPr>
            <w:t>、拟投入项目服务团队情况表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_Toc20250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91FA1FA">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_Toc19317 </w:instrText>
          </w:r>
          <w:r>
            <w:rPr>
              <w:rFonts w:hint="eastAsia" w:ascii="宋体" w:hAnsi="宋体" w:eastAsia="宋体" w:cs="宋体"/>
              <w:sz w:val="24"/>
              <w:szCs w:val="24"/>
            </w:rPr>
            <w:fldChar w:fldCharType="separate"/>
          </w:r>
          <w:r>
            <w:rPr>
              <w:rFonts w:hint="eastAsia" w:ascii="宋体" w:hAnsi="宋体" w:eastAsia="宋体" w:cs="宋体"/>
              <w:sz w:val="24"/>
              <w:szCs w:val="24"/>
            </w:rPr>
            <w:t>格式1</w:t>
          </w:r>
          <w:r>
            <w:rPr>
              <w:rFonts w:hint="eastAsia" w:ascii="宋体" w:hAnsi="宋体" w:eastAsia="宋体" w:cs="宋体"/>
              <w:sz w:val="24"/>
              <w:szCs w:val="24"/>
              <w:lang w:val="en-US" w:eastAsia="zh-CN"/>
            </w:rPr>
            <w:t>6</w:t>
          </w:r>
          <w:r>
            <w:rPr>
              <w:rFonts w:hint="eastAsia" w:ascii="宋体" w:hAnsi="宋体" w:eastAsia="宋体" w:cs="宋体"/>
              <w:sz w:val="24"/>
              <w:szCs w:val="24"/>
            </w:rPr>
            <w:t>、服务方案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_Toc19317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19FD59D">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_Toc30882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格式1</w:t>
          </w:r>
          <w:r>
            <w:rPr>
              <w:rFonts w:hint="eastAsia" w:ascii="宋体" w:hAnsi="宋体" w:eastAsia="宋体" w:cs="宋体"/>
              <w:sz w:val="24"/>
              <w:szCs w:val="24"/>
              <w:lang w:val="en-US" w:eastAsia="zh-CN"/>
            </w:rPr>
            <w:t>7</w:t>
          </w:r>
          <w:r>
            <w:rPr>
              <w:rFonts w:hint="eastAsia" w:ascii="宋体" w:hAnsi="宋体" w:eastAsia="宋体" w:cs="宋体"/>
              <w:sz w:val="24"/>
              <w:szCs w:val="24"/>
              <w:lang w:val="zh-CN"/>
            </w:rPr>
            <w:t>、磋商供应商的类似业绩证明材料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_Toc30882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A28E196">
          <w:pPr>
            <w:pStyle w:val="2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_Toc1135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zh-CN"/>
            </w:rPr>
            <w:t>格式</w:t>
          </w:r>
          <w:r>
            <w:rPr>
              <w:rFonts w:hint="eastAsia" w:ascii="宋体" w:hAnsi="宋体" w:eastAsia="宋体" w:cs="宋体"/>
              <w:bCs/>
              <w:sz w:val="24"/>
              <w:szCs w:val="24"/>
              <w:lang w:val="en-US" w:eastAsia="zh-CN"/>
            </w:rPr>
            <w:t>18</w:t>
          </w:r>
          <w:r>
            <w:rPr>
              <w:rFonts w:hint="eastAsia" w:ascii="宋体" w:hAnsi="宋体" w:eastAsia="宋体" w:cs="宋体"/>
              <w:bCs/>
              <w:sz w:val="24"/>
              <w:szCs w:val="24"/>
              <w:lang w:val="zh-CN"/>
            </w:rPr>
            <w:t>、中小企业声明函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_Toc1135 \h </w:instrText>
          </w:r>
          <w:r>
            <w:rPr>
              <w:rFonts w:hint="eastAsia" w:ascii="宋体" w:hAnsi="宋体" w:eastAsia="宋体" w:cs="宋体"/>
              <w:sz w:val="24"/>
              <w:szCs w:val="24"/>
            </w:rPr>
            <w:fldChar w:fldCharType="separate"/>
          </w:r>
          <w:r>
            <w:rPr>
              <w:rFonts w:hint="eastAsia" w:ascii="宋体" w:hAnsi="宋体" w:eastAsia="宋体" w:cs="宋体"/>
              <w:sz w:val="24"/>
              <w:szCs w:val="24"/>
            </w:rPr>
            <w:t>52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A1D031A">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_Toc11188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w:t>
          </w:r>
          <w:r>
            <w:rPr>
              <w:rFonts w:hint="eastAsia" w:ascii="宋体" w:hAnsi="宋体" w:eastAsia="宋体" w:cs="宋体"/>
              <w:sz w:val="24"/>
              <w:szCs w:val="24"/>
            </w:rPr>
            <w:t>1</w:t>
          </w:r>
          <w:r>
            <w:rPr>
              <w:rFonts w:hint="eastAsia" w:ascii="宋体" w:hAnsi="宋体" w:eastAsia="宋体" w:cs="宋体"/>
              <w:sz w:val="24"/>
              <w:szCs w:val="24"/>
              <w:lang w:val="en-US" w:eastAsia="zh-CN"/>
            </w:rPr>
            <w:t>9</w:t>
          </w:r>
          <w:r>
            <w:rPr>
              <w:rFonts w:hint="eastAsia" w:ascii="宋体" w:hAnsi="宋体" w:eastAsia="宋体" w:cs="宋体"/>
              <w:sz w:val="24"/>
              <w:szCs w:val="24"/>
              <w:lang w:val="zh-CN"/>
            </w:rPr>
            <w:t>、残疾人福利性单位声明函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_Toc11188 \h </w:instrText>
          </w:r>
          <w:r>
            <w:rPr>
              <w:rFonts w:hint="eastAsia" w:ascii="宋体" w:hAnsi="宋体" w:eastAsia="宋体" w:cs="宋体"/>
              <w:sz w:val="24"/>
              <w:szCs w:val="24"/>
            </w:rPr>
            <w:fldChar w:fldCharType="separate"/>
          </w:r>
          <w:r>
            <w:rPr>
              <w:rFonts w:hint="eastAsia" w:ascii="宋体" w:hAnsi="宋体" w:eastAsia="宋体" w:cs="宋体"/>
              <w:sz w:val="24"/>
              <w:szCs w:val="24"/>
            </w:rPr>
            <w:t>53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653EC7F">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_Toc12962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w:t>
          </w:r>
          <w:r>
            <w:rPr>
              <w:rFonts w:hint="eastAsia" w:ascii="宋体" w:hAnsi="宋体" w:eastAsia="宋体" w:cs="宋体"/>
              <w:sz w:val="24"/>
              <w:szCs w:val="24"/>
              <w:lang w:val="en-US" w:eastAsia="zh-CN"/>
            </w:rPr>
            <w:t>20</w:t>
          </w:r>
          <w:r>
            <w:rPr>
              <w:rFonts w:hint="eastAsia" w:ascii="宋体" w:hAnsi="宋体" w:eastAsia="宋体" w:cs="宋体"/>
              <w:sz w:val="24"/>
              <w:szCs w:val="24"/>
              <w:lang w:val="zh-CN"/>
            </w:rPr>
            <w:t>、供应商认为在其他方面有必要说明的事项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_Toc12962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1F3EE35">
          <w:pPr>
            <w:pStyle w:val="1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_Toc1893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格式2</w:t>
          </w:r>
          <w:r>
            <w:rPr>
              <w:rFonts w:hint="eastAsia" w:ascii="宋体" w:hAnsi="宋体" w:eastAsia="宋体" w:cs="宋体"/>
              <w:sz w:val="24"/>
              <w:szCs w:val="24"/>
              <w:lang w:val="en-US" w:eastAsia="zh-CN"/>
            </w:rPr>
            <w:t>1</w:t>
          </w:r>
          <w:r>
            <w:rPr>
              <w:rFonts w:hint="eastAsia" w:ascii="宋体" w:hAnsi="宋体" w:eastAsia="宋体" w:cs="宋体"/>
              <w:sz w:val="24"/>
              <w:szCs w:val="24"/>
              <w:lang w:val="zh-CN"/>
            </w:rPr>
            <w:t>、磋商最终报价表</w:t>
          </w:r>
          <w:r>
            <w:rPr>
              <w:rFonts w:hint="eastAsia" w:ascii="宋体" w:hAnsi="宋体" w:eastAsia="宋体" w:cs="宋体"/>
              <w:sz w:val="24"/>
              <w:szCs w:val="24"/>
            </w:rPr>
            <w:t>（单独提交）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_Toc1893 \h </w:instrText>
          </w:r>
          <w:r>
            <w:rPr>
              <w:rFonts w:hint="eastAsia" w:ascii="宋体" w:hAnsi="宋体" w:eastAsia="宋体" w:cs="宋体"/>
              <w:sz w:val="24"/>
              <w:szCs w:val="24"/>
            </w:rPr>
            <w:fldChar w:fldCharType="separate"/>
          </w:r>
          <w:r>
            <w:rPr>
              <w:rFonts w:hint="eastAsia" w:ascii="宋体" w:hAnsi="宋体" w:eastAsia="宋体" w:cs="宋体"/>
              <w:sz w:val="24"/>
              <w:szCs w:val="24"/>
            </w:rPr>
            <w:t>55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2BAC388">
          <w:pPr>
            <w:pStyle w:val="23"/>
            <w:keepNext w:val="0"/>
            <w:keepLines w:val="0"/>
            <w:pageBreakBefore w:val="0"/>
            <w:tabs>
              <w:tab w:val="right" w:leader="dot" w:pos="9412"/>
              <w:tab w:val="clear" w:pos="829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_Toc12458 </w:instrText>
          </w:r>
          <w:r>
            <w:rPr>
              <w:rFonts w:hint="eastAsia" w:ascii="宋体" w:hAnsi="宋体" w:eastAsia="宋体" w:cs="宋体"/>
              <w:sz w:val="24"/>
              <w:szCs w:val="24"/>
            </w:rPr>
            <w:fldChar w:fldCharType="separate"/>
          </w:r>
          <w:r>
            <w:rPr>
              <w:rFonts w:hint="eastAsia" w:ascii="宋体" w:hAnsi="宋体" w:eastAsia="宋体" w:cs="宋体"/>
              <w:sz w:val="24"/>
              <w:szCs w:val="24"/>
            </w:rPr>
            <w:t>第五部分  采购项目要求及内容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_Toc12458 \h </w:instrText>
          </w:r>
          <w:r>
            <w:rPr>
              <w:rFonts w:hint="eastAsia" w:ascii="宋体" w:hAnsi="宋体" w:eastAsia="宋体" w:cs="宋体"/>
              <w:sz w:val="24"/>
              <w:szCs w:val="24"/>
            </w:rPr>
            <w:fldChar w:fldCharType="separate"/>
          </w:r>
          <w:r>
            <w:rPr>
              <w:rFonts w:hint="eastAsia" w:ascii="宋体" w:hAnsi="宋体" w:eastAsia="宋体" w:cs="宋体"/>
              <w:sz w:val="24"/>
              <w:szCs w:val="24"/>
            </w:rPr>
            <w:t>56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6B5FFDC">
          <w:pPr>
            <w:pStyle w:val="2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_Toc20896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rPr>
            <w:t>（一）磋商要求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_Toc20896 \h </w:instrText>
          </w:r>
          <w:r>
            <w:rPr>
              <w:rFonts w:hint="eastAsia" w:ascii="宋体" w:hAnsi="宋体" w:eastAsia="宋体" w:cs="宋体"/>
              <w:sz w:val="24"/>
              <w:szCs w:val="24"/>
            </w:rPr>
            <w:fldChar w:fldCharType="separate"/>
          </w:r>
          <w:r>
            <w:rPr>
              <w:rFonts w:hint="eastAsia" w:ascii="宋体" w:hAnsi="宋体" w:eastAsia="宋体" w:cs="宋体"/>
              <w:sz w:val="24"/>
              <w:szCs w:val="24"/>
            </w:rPr>
            <w:t>56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B911B23">
          <w:pPr>
            <w:pStyle w:val="26"/>
            <w:keepNext w:val="0"/>
            <w:keepLines w:val="0"/>
            <w:pageBreakBefore w:val="0"/>
            <w:tabs>
              <w:tab w:val="right" w:leader="dot" w:pos="9412"/>
            </w:tabs>
            <w:kinsoku/>
            <w:wordWrap/>
            <w:overflowPunct/>
            <w:topLinePunct w:val="0"/>
            <w:autoSpaceDE/>
            <w:autoSpaceDN/>
            <w:bidi w:val="0"/>
            <w:adjustRightInd/>
            <w:snapToGrid/>
            <w:spacing w:line="360" w:lineRule="auto"/>
            <w:ind w:left="0" w:leftChars="0" w:firstLine="0" w:firstLineChars="0"/>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_Toc20604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rPr>
            <w:t>（二） 服务内容及要求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_Toc20604 \h </w:instrText>
          </w:r>
          <w:r>
            <w:rPr>
              <w:rFonts w:hint="eastAsia" w:ascii="宋体" w:hAnsi="宋体" w:eastAsia="宋体" w:cs="宋体"/>
              <w:sz w:val="24"/>
              <w:szCs w:val="24"/>
            </w:rPr>
            <w:fldChar w:fldCharType="separate"/>
          </w:r>
          <w:r>
            <w:rPr>
              <w:rFonts w:hint="eastAsia" w:ascii="宋体" w:hAnsi="宋体" w:eastAsia="宋体" w:cs="宋体"/>
              <w:sz w:val="24"/>
              <w:szCs w:val="24"/>
            </w:rPr>
            <w:t>57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108F925">
          <w:pPr>
            <w:pStyle w:val="16"/>
            <w:tabs>
              <w:tab w:val="right" w:leader="dot" w:pos="9412"/>
            </w:tabs>
            <w:spacing w:line="240" w:lineRule="auto"/>
          </w:pPr>
        </w:p>
        <w:p w14:paraId="6CFAD5D1">
          <w:r>
            <w:fldChar w:fldCharType="end"/>
          </w:r>
        </w:p>
      </w:sdtContent>
    </w:sdt>
    <w:p w14:paraId="3F3CB4DE"/>
    <w:p w14:paraId="2341CAB6">
      <w:pPr>
        <w:keepNext/>
        <w:keepLines/>
        <w:widowControl/>
        <w:snapToGrid w:val="0"/>
        <w:spacing w:line="360" w:lineRule="auto"/>
        <w:jc w:val="center"/>
        <w:outlineLvl w:val="0"/>
      </w:pPr>
      <w:r>
        <w:rPr>
          <w:rFonts w:ascii="宋体" w:hAnsi="宋体"/>
          <w:sz w:val="48"/>
        </w:rPr>
        <w:br w:type="page"/>
      </w:r>
      <w:bookmarkStart w:id="11" w:name="_Toc372"/>
      <w:bookmarkStart w:id="12" w:name="_Toc31781"/>
      <w:bookmarkStart w:id="13" w:name="_Toc25729"/>
      <w:r>
        <w:rPr>
          <w:rStyle w:val="53"/>
          <w:rFonts w:hint="eastAsia" w:ascii="宋体" w:hAnsi="宋体" w:eastAsia="宋体" w:cs="宋体"/>
          <w:b/>
          <w:bCs/>
          <w:sz w:val="48"/>
          <w:szCs w:val="48"/>
        </w:rPr>
        <w:t>第一部分  磋商邀请</w:t>
      </w:r>
      <w:bookmarkEnd w:id="10"/>
      <w:bookmarkEnd w:id="11"/>
      <w:bookmarkEnd w:id="12"/>
      <w:bookmarkEnd w:id="13"/>
    </w:p>
    <w:p w14:paraId="3AFC0695">
      <w:pPr>
        <w:pBdr>
          <w:top w:val="single" w:color="auto" w:sz="4" w:space="1"/>
          <w:left w:val="single" w:color="auto" w:sz="4" w:space="4"/>
          <w:bottom w:val="single" w:color="auto" w:sz="4" w:space="1"/>
          <w:right w:val="single" w:color="auto" w:sz="4" w:space="4"/>
        </w:pBdr>
        <w:spacing w:line="360" w:lineRule="auto"/>
        <w:rPr>
          <w:rFonts w:ascii="宋体" w:hAnsi="宋体" w:cs="宋体"/>
          <w:b/>
          <w:bCs/>
          <w:sz w:val="24"/>
        </w:rPr>
      </w:pPr>
      <w:r>
        <w:rPr>
          <w:rFonts w:hint="eastAsia" w:ascii="宋体" w:hAnsi="宋体" w:cs="宋体"/>
          <w:b/>
          <w:bCs/>
          <w:sz w:val="24"/>
        </w:rPr>
        <w:t>项目概况</w:t>
      </w:r>
    </w:p>
    <w:p w14:paraId="2FA3048B">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rPr>
      </w:pPr>
      <w:r>
        <w:rPr>
          <w:rFonts w:hint="eastAsia" w:ascii="宋体" w:hAnsi="宋体" w:cs="宋体"/>
          <w:sz w:val="24"/>
          <w:u w:val="single"/>
          <w:lang w:eastAsia="zh-CN"/>
        </w:rPr>
        <w:t>青海省养老服务中心食堂餐饮管理服务项目</w:t>
      </w:r>
      <w:r>
        <w:rPr>
          <w:rFonts w:hint="eastAsia" w:ascii="宋体" w:hAnsi="宋体" w:cs="宋体"/>
          <w:sz w:val="24"/>
        </w:rPr>
        <w:t>采购项目的</w:t>
      </w:r>
      <w:r>
        <w:rPr>
          <w:rFonts w:hint="eastAsia" w:ascii="宋体" w:hAnsi="宋体" w:cs="宋体"/>
          <w:kern w:val="0"/>
          <w:sz w:val="24"/>
        </w:rPr>
        <w:t>潜在供应商应在</w:t>
      </w:r>
      <w:r>
        <w:rPr>
          <w:rFonts w:hint="eastAsia" w:ascii="宋体" w:hAnsi="宋体" w:cs="宋体"/>
          <w:kern w:val="0"/>
          <w:sz w:val="24"/>
          <w:u w:val="single"/>
        </w:rPr>
        <w:t>线上通过政采云平台（www.zcygov.cn）</w:t>
      </w:r>
      <w:r>
        <w:rPr>
          <w:rFonts w:hint="eastAsia" w:ascii="宋体" w:hAnsi="宋体" w:cs="宋体"/>
          <w:kern w:val="0"/>
          <w:sz w:val="24"/>
        </w:rPr>
        <w:t>获取采购文件，并于</w:t>
      </w:r>
      <w:r>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t>2025年07月08日上午09点00分</w:t>
      </w:r>
      <w:r>
        <w:rPr>
          <w:rFonts w:hint="eastAsia" w:ascii="宋体" w:hAnsi="宋体" w:cs="宋体"/>
          <w:bCs/>
          <w:color w:val="auto"/>
          <w:kern w:val="0"/>
          <w:sz w:val="24"/>
        </w:rPr>
        <w:t>（北京时间）前提交响应文件</w:t>
      </w:r>
      <w:r>
        <w:rPr>
          <w:rFonts w:hint="eastAsia" w:ascii="宋体" w:hAnsi="宋体" w:cs="宋体"/>
          <w:color w:val="auto"/>
          <w:kern w:val="0"/>
          <w:sz w:val="24"/>
        </w:rPr>
        <w:t>。</w:t>
      </w:r>
    </w:p>
    <w:p w14:paraId="1D84F4BA">
      <w:pPr>
        <w:keepNext/>
        <w:keepLines/>
        <w:spacing w:before="260" w:after="140" w:line="360" w:lineRule="auto"/>
        <w:outlineLvl w:val="1"/>
        <w:rPr>
          <w:rFonts w:ascii="宋体" w:hAnsi="宋体" w:cs="宋体"/>
          <w:b/>
          <w:sz w:val="24"/>
        </w:rPr>
      </w:pPr>
      <w:bookmarkStart w:id="14" w:name="_Toc27859"/>
      <w:bookmarkStart w:id="15" w:name="_Toc35393629"/>
      <w:bookmarkStart w:id="16" w:name="_Toc28359012"/>
      <w:bookmarkStart w:id="17" w:name="_Toc28359089"/>
      <w:bookmarkStart w:id="18" w:name="_Toc35393798"/>
      <w:bookmarkStart w:id="19" w:name="_Toc6122"/>
      <w:r>
        <w:rPr>
          <w:rFonts w:hint="eastAsia" w:ascii="宋体" w:hAnsi="宋体" w:cs="宋体"/>
          <w:b/>
          <w:sz w:val="24"/>
        </w:rPr>
        <w:t>一、项目基本情况</w:t>
      </w:r>
      <w:bookmarkEnd w:id="14"/>
      <w:bookmarkEnd w:id="15"/>
      <w:bookmarkEnd w:id="16"/>
      <w:bookmarkEnd w:id="17"/>
      <w:bookmarkEnd w:id="18"/>
      <w:bookmarkEnd w:id="19"/>
    </w:p>
    <w:p w14:paraId="5ADD299C">
      <w:pPr>
        <w:spacing w:line="360" w:lineRule="auto"/>
        <w:ind w:firstLine="480"/>
        <w:rPr>
          <w:rFonts w:hint="eastAsia" w:ascii="宋体" w:hAnsi="宋体" w:eastAsia="宋体" w:cs="宋体"/>
          <w:kern w:val="0"/>
          <w:sz w:val="24"/>
          <w:lang w:eastAsia="zh-CN"/>
        </w:rPr>
      </w:pPr>
      <w:r>
        <w:rPr>
          <w:rFonts w:hint="eastAsia" w:ascii="宋体" w:hAnsi="宋体" w:cs="宋体"/>
          <w:kern w:val="0"/>
          <w:sz w:val="24"/>
        </w:rPr>
        <w:t>项目编号：</w:t>
      </w:r>
      <w:r>
        <w:rPr>
          <w:rFonts w:hint="eastAsia" w:ascii="宋体" w:hAnsi="宋体" w:cs="宋体"/>
          <w:kern w:val="0"/>
          <w:sz w:val="24"/>
          <w:lang w:eastAsia="zh-CN"/>
        </w:rPr>
        <w:t>青海国德竞磋（服务）2025-037</w:t>
      </w:r>
    </w:p>
    <w:p w14:paraId="6980F1FD">
      <w:pPr>
        <w:spacing w:line="360" w:lineRule="auto"/>
        <w:ind w:firstLine="480"/>
        <w:rPr>
          <w:rFonts w:hint="eastAsia" w:ascii="宋体" w:hAnsi="宋体" w:eastAsia="宋体" w:cs="宋体"/>
          <w:kern w:val="0"/>
          <w:sz w:val="24"/>
          <w:lang w:eastAsia="zh-CN"/>
        </w:rPr>
      </w:pPr>
      <w:r>
        <w:rPr>
          <w:rFonts w:hint="eastAsia" w:ascii="宋体" w:hAnsi="宋体" w:cs="宋体"/>
          <w:kern w:val="0"/>
          <w:sz w:val="24"/>
        </w:rPr>
        <w:t>项目名称：</w:t>
      </w:r>
      <w:r>
        <w:rPr>
          <w:rFonts w:hint="eastAsia" w:ascii="宋体" w:hAnsi="宋体" w:cs="宋体"/>
          <w:kern w:val="0"/>
          <w:sz w:val="24"/>
          <w:lang w:eastAsia="zh-CN"/>
        </w:rPr>
        <w:t>青海省养老服务中心食堂餐饮管理服务项目</w:t>
      </w:r>
    </w:p>
    <w:p w14:paraId="1A632233">
      <w:pPr>
        <w:spacing w:line="360" w:lineRule="auto"/>
        <w:ind w:firstLine="480"/>
        <w:rPr>
          <w:rFonts w:ascii="宋体" w:hAnsi="宋体" w:cs="宋体"/>
          <w:kern w:val="0"/>
          <w:sz w:val="24"/>
        </w:rPr>
      </w:pPr>
      <w:r>
        <w:rPr>
          <w:rFonts w:hint="eastAsia" w:ascii="宋体" w:hAnsi="宋体" w:cs="宋体"/>
          <w:kern w:val="0"/>
          <w:sz w:val="24"/>
        </w:rPr>
        <w:t>采购方式：□竞争性谈判 ☑竞争性磋商 □询价</w:t>
      </w:r>
    </w:p>
    <w:p w14:paraId="0934C00E">
      <w:pPr>
        <w:spacing w:line="360" w:lineRule="auto"/>
        <w:ind w:firstLine="480"/>
        <w:rPr>
          <w:rFonts w:hint="eastAsia" w:ascii="宋体" w:hAnsi="宋体" w:cs="宋体"/>
          <w:kern w:val="0"/>
          <w:sz w:val="24"/>
          <w:lang w:val="en-US" w:eastAsia="zh-CN"/>
        </w:rPr>
      </w:pPr>
      <w:r>
        <w:rPr>
          <w:rFonts w:hint="eastAsia" w:ascii="宋体" w:hAnsi="宋体" w:cs="宋体"/>
          <w:kern w:val="0"/>
          <w:sz w:val="24"/>
        </w:rPr>
        <w:t>预算金额：</w:t>
      </w:r>
      <w:r>
        <w:rPr>
          <w:rFonts w:hint="eastAsia" w:ascii="宋体" w:hAnsi="宋体" w:cs="宋体"/>
          <w:kern w:val="0"/>
          <w:sz w:val="24"/>
          <w:lang w:val="en-US" w:eastAsia="zh-CN"/>
        </w:rPr>
        <w:t>960000.00元（按每位老人每月 800 元伙食费计取，最终结算金额按实际入住人数为准。）</w:t>
      </w:r>
    </w:p>
    <w:p w14:paraId="045A1BF0">
      <w:pPr>
        <w:spacing w:line="360" w:lineRule="auto"/>
        <w:ind w:firstLine="480"/>
        <w:rPr>
          <w:rFonts w:hint="eastAsia" w:ascii="宋体" w:hAnsi="宋体" w:cs="宋体"/>
          <w:kern w:val="0"/>
          <w:sz w:val="24"/>
        </w:rPr>
      </w:pPr>
      <w:r>
        <w:rPr>
          <w:rFonts w:hint="eastAsia" w:ascii="宋体" w:hAnsi="宋体" w:cs="宋体"/>
          <w:kern w:val="0"/>
          <w:sz w:val="24"/>
        </w:rPr>
        <w:t>最高限价（如有）：</w:t>
      </w:r>
      <w:r>
        <w:rPr>
          <w:rFonts w:hint="eastAsia" w:ascii="宋体" w:hAnsi="宋体" w:cs="宋体"/>
          <w:kern w:val="0"/>
          <w:sz w:val="24"/>
          <w:lang w:val="en-US" w:eastAsia="zh-CN"/>
        </w:rPr>
        <w:t>960000.00</w:t>
      </w:r>
      <w:r>
        <w:rPr>
          <w:rFonts w:hint="eastAsia" w:ascii="宋体" w:hAnsi="宋体" w:cs="宋体"/>
          <w:kern w:val="0"/>
          <w:sz w:val="24"/>
        </w:rPr>
        <w:t>元</w:t>
      </w:r>
    </w:p>
    <w:p w14:paraId="2653EB9D">
      <w:pPr>
        <w:spacing w:line="360" w:lineRule="auto"/>
        <w:ind w:firstLine="480"/>
        <w:rPr>
          <w:rFonts w:hint="eastAsia" w:ascii="宋体" w:hAnsi="宋体" w:cs="宋体"/>
          <w:kern w:val="0"/>
          <w:sz w:val="24"/>
        </w:rPr>
      </w:pPr>
      <w:r>
        <w:rPr>
          <w:rFonts w:hint="eastAsia" w:ascii="宋体" w:hAnsi="宋体" w:cs="宋体"/>
          <w:kern w:val="0"/>
          <w:sz w:val="24"/>
        </w:rPr>
        <w:t>采购需求：</w:t>
      </w:r>
      <w:r>
        <w:rPr>
          <w:rFonts w:hint="eastAsia" w:ascii="宋体" w:hAnsi="宋体" w:cs="宋体"/>
          <w:kern w:val="0"/>
          <w:sz w:val="24"/>
          <w:lang w:val="en-US" w:eastAsia="zh-CN"/>
        </w:rPr>
        <w:t>1.提供食堂的食材采购、膳食安排、加工、餐饮供应；2.餐厅和厨房内环境卫生及日常保洁；3.食堂设备的日常维护等；4.提供失能、半失能老人及员工的一日三餐、节日餐及生日餐等保障服务。具体采购需求详见磋商文件第五部分“采购项目服务要求”。</w:t>
      </w:r>
    </w:p>
    <w:p w14:paraId="3D8F3CBE">
      <w:pPr>
        <w:spacing w:line="360" w:lineRule="auto"/>
        <w:ind w:firstLine="480"/>
        <w:rPr>
          <w:rFonts w:hint="eastAsia" w:ascii="宋体" w:hAnsi="宋体" w:cs="宋体"/>
          <w:kern w:val="0"/>
          <w:sz w:val="24"/>
        </w:rPr>
      </w:pPr>
      <w:r>
        <w:rPr>
          <w:rFonts w:hint="eastAsia" w:ascii="宋体" w:hAnsi="宋体" w:cs="宋体"/>
          <w:kern w:val="0"/>
          <w:sz w:val="24"/>
        </w:rPr>
        <w:t>合同履行期限：</w:t>
      </w:r>
      <w:r>
        <w:rPr>
          <w:rFonts w:hint="eastAsia" w:ascii="宋体" w:hAnsi="宋体" w:cs="宋体"/>
          <w:kern w:val="0"/>
          <w:sz w:val="24"/>
          <w:lang w:eastAsia="zh-CN"/>
        </w:rPr>
        <w:t>自合同签订之日起一年</w:t>
      </w:r>
      <w:r>
        <w:rPr>
          <w:rFonts w:hint="eastAsia" w:ascii="宋体" w:hAnsi="宋体" w:cs="宋体"/>
          <w:kern w:val="0"/>
          <w:sz w:val="24"/>
        </w:rPr>
        <w:t>。</w:t>
      </w:r>
    </w:p>
    <w:p w14:paraId="16568447">
      <w:pPr>
        <w:spacing w:line="360" w:lineRule="auto"/>
        <w:ind w:firstLine="480"/>
        <w:rPr>
          <w:rFonts w:hint="eastAsia" w:ascii="宋体" w:hAnsi="宋体" w:cs="宋体"/>
          <w:kern w:val="0"/>
          <w:sz w:val="24"/>
        </w:rPr>
      </w:pPr>
      <w:r>
        <w:rPr>
          <w:rFonts w:hint="eastAsia" w:ascii="宋体" w:hAnsi="宋体" w:cs="宋体"/>
          <w:kern w:val="0"/>
          <w:sz w:val="24"/>
        </w:rPr>
        <w:t>本项目（否）接受联合体。</w:t>
      </w:r>
      <w:bookmarkStart w:id="20" w:name="_Toc25034"/>
      <w:bookmarkStart w:id="21" w:name="_Toc29515"/>
      <w:bookmarkStart w:id="22" w:name="_Toc28359080"/>
      <w:bookmarkStart w:id="23" w:name="_Toc28359003"/>
      <w:bookmarkStart w:id="24" w:name="_Toc35393622"/>
      <w:bookmarkStart w:id="25" w:name="_Toc31044"/>
      <w:bookmarkStart w:id="26" w:name="_Toc35393791"/>
    </w:p>
    <w:p w14:paraId="637B5B35">
      <w:pPr>
        <w:spacing w:line="360" w:lineRule="auto"/>
        <w:outlineLvl w:val="1"/>
        <w:rPr>
          <w:rFonts w:asciiTheme="minorEastAsia" w:hAnsiTheme="minorEastAsia" w:eastAsiaTheme="minorEastAsia" w:cstheme="minorEastAsia"/>
          <w:b/>
          <w:bCs/>
          <w:sz w:val="24"/>
        </w:rPr>
      </w:pPr>
      <w:bookmarkStart w:id="27" w:name="_Toc20923"/>
      <w:bookmarkStart w:id="28" w:name="_Toc20367"/>
      <w:r>
        <w:rPr>
          <w:rFonts w:hint="eastAsia" w:asciiTheme="minorEastAsia" w:hAnsiTheme="minorEastAsia" w:eastAsiaTheme="minorEastAsia" w:cstheme="minorEastAsia"/>
          <w:b/>
          <w:bCs/>
          <w:sz w:val="24"/>
        </w:rPr>
        <w:t>二、</w:t>
      </w:r>
      <w:r>
        <w:rPr>
          <w:rFonts w:hint="eastAsia" w:asciiTheme="minorEastAsia" w:hAnsiTheme="minorEastAsia" w:eastAsiaTheme="minorEastAsia" w:cstheme="minorEastAsia"/>
          <w:b/>
          <w:bCs/>
          <w:sz w:val="24"/>
          <w:lang w:val="en-US" w:eastAsia="zh-CN"/>
        </w:rPr>
        <w:t>供应商</w:t>
      </w:r>
      <w:r>
        <w:rPr>
          <w:rFonts w:hint="eastAsia" w:asciiTheme="minorEastAsia" w:hAnsiTheme="minorEastAsia" w:eastAsiaTheme="minorEastAsia" w:cstheme="minorEastAsia"/>
          <w:b/>
          <w:bCs/>
          <w:sz w:val="24"/>
        </w:rPr>
        <w:t>资格要求：</w:t>
      </w:r>
      <w:bookmarkEnd w:id="20"/>
      <w:bookmarkEnd w:id="21"/>
      <w:bookmarkEnd w:id="22"/>
      <w:bookmarkEnd w:id="23"/>
      <w:bookmarkEnd w:id="24"/>
      <w:bookmarkEnd w:id="25"/>
      <w:bookmarkEnd w:id="26"/>
      <w:bookmarkEnd w:id="27"/>
      <w:bookmarkEnd w:id="28"/>
    </w:p>
    <w:p w14:paraId="4D76B597">
      <w:pPr>
        <w:pStyle w:val="19"/>
        <w:spacing w:after="0"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1.满足《中华人民共和国政府采购法》第二十二条规定；</w:t>
      </w:r>
    </w:p>
    <w:p w14:paraId="3AE08545">
      <w:pPr>
        <w:pStyle w:val="19"/>
        <w:spacing w:after="0" w:line="360" w:lineRule="auto"/>
        <w:rPr>
          <w:rFonts w:asciiTheme="minorEastAsia" w:hAnsiTheme="minorEastAsia" w:eastAsiaTheme="minorEastAsia" w:cstheme="minorEastAsia"/>
          <w:sz w:val="24"/>
        </w:rPr>
      </w:pPr>
      <w:bookmarkStart w:id="29" w:name="_Toc28359081"/>
      <w:bookmarkStart w:id="30" w:name="_Toc28359004"/>
      <w:r>
        <w:rPr>
          <w:rFonts w:hint="eastAsia" w:asciiTheme="minorEastAsia" w:hAnsiTheme="minorEastAsia" w:eastAsiaTheme="minorEastAsia" w:cstheme="minorEastAsia"/>
          <w:sz w:val="24"/>
        </w:rPr>
        <w:t>2.落实政府采购政策需满足的资格要求：</w:t>
      </w:r>
      <w:r>
        <w:rPr>
          <w:rFonts w:hint="eastAsia" w:asciiTheme="minorEastAsia" w:hAnsiTheme="minorEastAsia" w:eastAsiaTheme="minorEastAsia" w:cstheme="minorEastAsia"/>
          <w:sz w:val="24"/>
          <w:lang w:val="en-US" w:eastAsia="zh-CN"/>
        </w:rPr>
        <w:t>/</w:t>
      </w:r>
      <w:r>
        <w:rPr>
          <w:rFonts w:hint="eastAsia" w:asciiTheme="minorEastAsia" w:hAnsiTheme="minorEastAsia" w:eastAsiaTheme="minorEastAsia" w:cstheme="minorEastAsia"/>
          <w:sz w:val="24"/>
        </w:rPr>
        <w:t> </w:t>
      </w:r>
    </w:p>
    <w:p w14:paraId="723196AA">
      <w:pPr>
        <w:pStyle w:val="19"/>
        <w:spacing w:after="0"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3.本项目的特定资格要求：</w:t>
      </w:r>
      <w:bookmarkStart w:id="31" w:name="_Toc18348"/>
      <w:bookmarkStart w:id="32" w:name="_Toc17750"/>
      <w:bookmarkStart w:id="33" w:name="_Toc35393623"/>
      <w:bookmarkStart w:id="34" w:name="_Toc10138"/>
      <w:bookmarkStart w:id="35" w:name="_Toc35393792"/>
    </w:p>
    <w:p w14:paraId="59B08C15">
      <w:pPr>
        <w:pStyle w:val="19"/>
        <w:spacing w:after="0" w:line="360" w:lineRule="auto"/>
        <w:ind w:firstLine="240" w:firstLineChars="100"/>
        <w:outlineLvl w:val="2"/>
        <w:rPr>
          <w:rFonts w:asciiTheme="minorEastAsia" w:hAnsiTheme="minorEastAsia" w:eastAsiaTheme="minorEastAsia" w:cstheme="minorEastAsia"/>
          <w:sz w:val="24"/>
          <w:lang w:val="zh-CN"/>
        </w:rPr>
      </w:pPr>
      <w:bookmarkStart w:id="36" w:name="_Toc25897"/>
      <w:bookmarkStart w:id="37" w:name="_Toc30113"/>
      <w:r>
        <w:rPr>
          <w:rFonts w:hint="eastAsia" w:asciiTheme="minorEastAsia" w:hAnsiTheme="minorEastAsia" w:eastAsiaTheme="minorEastAsia" w:cstheme="minorEastAsia"/>
          <w:sz w:val="24"/>
        </w:rPr>
        <w:t>3.1</w:t>
      </w:r>
      <w:r>
        <w:rPr>
          <w:rFonts w:hint="eastAsia" w:asciiTheme="minorEastAsia" w:hAnsiTheme="minorEastAsia" w:eastAsiaTheme="minorEastAsia" w:cstheme="minorEastAsia"/>
          <w:sz w:val="24"/>
          <w:lang w:val="zh-CN"/>
        </w:rPr>
        <w:t>符合《政府采购法》第22条条件，并提供下列材料：</w:t>
      </w:r>
      <w:bookmarkEnd w:id="36"/>
      <w:bookmarkEnd w:id="37"/>
    </w:p>
    <w:p w14:paraId="39A90D41">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（1）供应商的营业执照等证明文件，自然人的身份证明。</w:t>
      </w:r>
    </w:p>
    <w:p w14:paraId="4C4F46F5">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（2）财务状况报告，依法缴纳税收和社会保障资金的相关材料。</w:t>
      </w:r>
    </w:p>
    <w:p w14:paraId="1BC2E17B">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（3）具备履行合同所必需的设备和专业技术能力的证明材料。</w:t>
      </w:r>
    </w:p>
    <w:p w14:paraId="6FFB4CE4">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（4）参加政府采购活动前3年内在经营活动中没有重大违法记录的书面声明。</w:t>
      </w:r>
    </w:p>
    <w:p w14:paraId="497E9671">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（5）具备法律、行政法规规定的其他条件的证明材料。</w:t>
      </w:r>
    </w:p>
    <w:p w14:paraId="248B68B3">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3.2</w:t>
      </w:r>
      <w:r>
        <w:rPr>
          <w:rFonts w:hint="eastAsia" w:asciiTheme="minorEastAsia" w:hAnsiTheme="minorEastAsia" w:eastAsiaTheme="minorEastAsia" w:cstheme="minorEastAsia"/>
          <w:sz w:val="24"/>
          <w:lang w:val="zh-CN"/>
        </w:rPr>
        <w:t>单位负责人为同一人或者存在直接控股、管理关系的不同磋商供应商，不得参加同一合同项下的政府采购活动。否则，皆取消磋商资格；</w:t>
      </w:r>
    </w:p>
    <w:p w14:paraId="3E716EC7">
      <w:pPr>
        <w:spacing w:line="360" w:lineRule="auto"/>
        <w:ind w:firstLine="480" w:firstLineChars="200"/>
        <w:jc w:val="left"/>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3.</w:t>
      </w: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sz w:val="24"/>
          <w:lang w:val="zh-CN"/>
        </w:rPr>
        <w:t>经信用中国（www.creditchina.gov.cn）、中国政府采购网（www.ccgp.gov.cn）等渠道查询后，列入失信被执行人、</w:t>
      </w:r>
      <w:r>
        <w:rPr>
          <w:rFonts w:hint="eastAsia" w:asciiTheme="minorEastAsia" w:hAnsiTheme="minorEastAsia" w:eastAsiaTheme="minorEastAsia" w:cstheme="minorEastAsia"/>
          <w:sz w:val="24"/>
          <w:lang w:val="en-US" w:eastAsia="zh-CN"/>
        </w:rPr>
        <w:t>重大税收违法失主体</w:t>
      </w:r>
      <w:r>
        <w:rPr>
          <w:rFonts w:hint="eastAsia" w:asciiTheme="minorEastAsia" w:hAnsiTheme="minorEastAsia" w:eastAsiaTheme="minorEastAsia" w:cstheme="minorEastAsia"/>
          <w:sz w:val="24"/>
          <w:lang w:val="zh-CN"/>
        </w:rPr>
        <w:t>、政府采购严重违法失信行为记录名单的，取消磋商资格(提供“信用中国”网站的查询截图，时间为磋商截止时间前10天内)。</w:t>
      </w:r>
    </w:p>
    <w:p w14:paraId="21A8493B">
      <w:pPr>
        <w:spacing w:line="360" w:lineRule="auto"/>
        <w:ind w:firstLine="480" w:firstLineChars="200"/>
        <w:jc w:val="left"/>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3.4</w:t>
      </w:r>
      <w:r>
        <w:rPr>
          <w:rFonts w:ascii="宋体" w:hAnsi="宋体" w:cs="宋体"/>
          <w:sz w:val="24"/>
        </w:rPr>
        <w:t>为本采购项目提供整体设计、规范编制或者项目管理、监理、检测等服务的供应商</w:t>
      </w:r>
      <w:r>
        <w:rPr>
          <w:rFonts w:hint="eastAsia" w:asciiTheme="minorEastAsia" w:hAnsiTheme="minorEastAsia" w:eastAsiaTheme="minorEastAsia" w:cstheme="minorEastAsia"/>
          <w:sz w:val="24"/>
          <w:lang w:val="zh-CN"/>
        </w:rPr>
        <w:t>，不得再参加该采购项目的其他采购活动；</w:t>
      </w:r>
    </w:p>
    <w:p w14:paraId="38CB67E4">
      <w:pPr>
        <w:spacing w:line="360" w:lineRule="auto"/>
        <w:ind w:firstLine="480" w:firstLineChars="200"/>
        <w:jc w:val="left"/>
        <w:rPr>
          <w:rFonts w:hint="eastAsia" w:asciiTheme="minorEastAsia" w:hAnsiTheme="minorEastAsia" w:eastAsiaTheme="minorEastAsia" w:cstheme="minorEastAsia"/>
          <w:sz w:val="24"/>
          <w:lang w:val="zh-CN"/>
        </w:rPr>
      </w:pPr>
      <w:bookmarkStart w:id="38" w:name="_Toc32482"/>
      <w:bookmarkStart w:id="39" w:name="_Toc6616"/>
      <w:r>
        <w:rPr>
          <w:rFonts w:hint="eastAsia" w:asciiTheme="minorEastAsia" w:hAnsiTheme="minorEastAsia" w:eastAsiaTheme="minorEastAsia" w:cstheme="minorEastAsia"/>
          <w:sz w:val="24"/>
          <w:lang w:val="zh-CN"/>
        </w:rPr>
        <w:t>3.5</w:t>
      </w:r>
      <w:r>
        <w:rPr>
          <w:rFonts w:hint="eastAsia" w:asciiTheme="minorEastAsia" w:hAnsiTheme="minorEastAsia" w:eastAsiaTheme="minorEastAsia" w:cstheme="minorEastAsia"/>
          <w:sz w:val="24"/>
          <w:lang w:val="en-US" w:eastAsia="zh-CN"/>
        </w:rPr>
        <w:t>供应商具备有效的《食品经营许可证》；</w:t>
      </w:r>
    </w:p>
    <w:p w14:paraId="65CC7D2D">
      <w:pPr>
        <w:spacing w:line="360" w:lineRule="auto"/>
        <w:ind w:firstLine="480" w:firstLineChars="200"/>
        <w:jc w:val="left"/>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en-US" w:eastAsia="zh-CN"/>
        </w:rPr>
        <w:t>3.6</w:t>
      </w:r>
      <w:r>
        <w:rPr>
          <w:rFonts w:hint="eastAsia" w:asciiTheme="minorEastAsia" w:hAnsiTheme="minorEastAsia" w:eastAsiaTheme="minorEastAsia" w:cstheme="minorEastAsia"/>
          <w:sz w:val="24"/>
          <w:lang w:val="zh-CN"/>
        </w:rPr>
        <w:t>本项目不接受供应商以联合体方式参与磋商</w:t>
      </w:r>
      <w:bookmarkEnd w:id="38"/>
      <w:bookmarkEnd w:id="39"/>
      <w:r>
        <w:rPr>
          <w:rFonts w:hint="eastAsia" w:asciiTheme="minorEastAsia" w:hAnsiTheme="minorEastAsia" w:eastAsiaTheme="minorEastAsia" w:cstheme="minorEastAsia"/>
          <w:sz w:val="24"/>
          <w:lang w:val="zh-CN"/>
        </w:rPr>
        <w:t>。</w:t>
      </w:r>
    </w:p>
    <w:p w14:paraId="1BBE0D80">
      <w:pPr>
        <w:spacing w:line="360" w:lineRule="auto"/>
        <w:outlineLvl w:val="1"/>
        <w:rPr>
          <w:rFonts w:asciiTheme="minorEastAsia" w:hAnsiTheme="minorEastAsia" w:eastAsiaTheme="minorEastAsia" w:cstheme="minorEastAsia"/>
          <w:b/>
          <w:bCs/>
          <w:color w:val="auto"/>
          <w:sz w:val="24"/>
        </w:rPr>
      </w:pPr>
      <w:bookmarkStart w:id="40" w:name="_Toc12698"/>
      <w:bookmarkStart w:id="41" w:name="_Toc16378"/>
      <w:r>
        <w:rPr>
          <w:rFonts w:hint="eastAsia" w:asciiTheme="minorEastAsia" w:hAnsiTheme="minorEastAsia" w:eastAsiaTheme="minorEastAsia" w:cstheme="minorEastAsia"/>
          <w:b/>
          <w:bCs/>
          <w:sz w:val="24"/>
        </w:rPr>
        <w:t>三</w:t>
      </w:r>
      <w:r>
        <w:rPr>
          <w:rFonts w:hint="eastAsia" w:asciiTheme="minorEastAsia" w:hAnsiTheme="minorEastAsia" w:eastAsiaTheme="minorEastAsia" w:cstheme="minorEastAsia"/>
          <w:b/>
          <w:bCs/>
          <w:color w:val="auto"/>
          <w:sz w:val="24"/>
        </w:rPr>
        <w:t>、获取采购文件</w:t>
      </w:r>
      <w:bookmarkEnd w:id="29"/>
      <w:bookmarkEnd w:id="30"/>
      <w:bookmarkEnd w:id="31"/>
      <w:bookmarkEnd w:id="32"/>
      <w:bookmarkEnd w:id="33"/>
      <w:bookmarkEnd w:id="34"/>
      <w:bookmarkEnd w:id="35"/>
      <w:bookmarkEnd w:id="40"/>
      <w:bookmarkEnd w:id="41"/>
    </w:p>
    <w:p w14:paraId="6B7CF92B">
      <w:pPr>
        <w:spacing w:line="360" w:lineRule="auto"/>
        <w:ind w:firstLine="482" w:firstLineChars="200"/>
        <w:rPr>
          <w:rFonts w:hint="eastAsia"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时间：</w:t>
      </w:r>
      <w:r>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t>2025年06月</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26</w:t>
      </w:r>
      <w:r>
        <w:rPr>
          <w:rFonts w:hint="eastAsia" w:asciiTheme="minorEastAsia" w:hAnsiTheme="minorEastAsia" w:eastAsiaTheme="minorEastAsia" w:cstheme="minorEastAsia"/>
          <w:color w:val="000000" w:themeColor="text1"/>
          <w:sz w:val="24"/>
          <w:u w:val="single"/>
          <w14:textFill>
            <w14:solidFill>
              <w14:schemeClr w14:val="tx1"/>
            </w14:solidFill>
          </w14:textFill>
        </w:rPr>
        <w:t>日</w:t>
      </w:r>
      <w:r>
        <w:rPr>
          <w:rFonts w:hint="eastAsia" w:asciiTheme="minorEastAsia" w:hAnsiTheme="minorEastAsia" w:eastAsiaTheme="minorEastAsia" w:cstheme="minorEastAsia"/>
          <w:color w:val="000000" w:themeColor="text1"/>
          <w:sz w:val="24"/>
          <w14:textFill>
            <w14:solidFill>
              <w14:schemeClr w14:val="tx1"/>
            </w14:solidFill>
          </w14:textFill>
        </w:rPr>
        <w:t>至</w:t>
      </w:r>
      <w:r>
        <w:rPr>
          <w:rFonts w:hint="eastAsia" w:asciiTheme="minorEastAsia" w:hAnsiTheme="minorEastAsia" w:eastAsiaTheme="minorEastAsia" w:cstheme="minorEastAsia"/>
          <w:color w:val="000000" w:themeColor="text1"/>
          <w:sz w:val="24"/>
          <w:u w:val="single"/>
          <w14:textFill>
            <w14:solidFill>
              <w14:schemeClr w14:val="tx1"/>
            </w14:solidFill>
          </w14:textFill>
        </w:rPr>
        <w:t>202</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u w:val="single"/>
          <w14:textFill>
            <w14:solidFill>
              <w14:schemeClr w14:val="tx1"/>
            </w14:solidFill>
          </w14:textFill>
        </w:rPr>
        <w:t>年</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07</w:t>
      </w:r>
      <w:r>
        <w:rPr>
          <w:rFonts w:hint="eastAsia" w:asciiTheme="minorEastAsia" w:hAnsiTheme="minorEastAsia" w:eastAsiaTheme="minorEastAsia" w:cstheme="minorEastAsia"/>
          <w:color w:val="000000" w:themeColor="text1"/>
          <w:sz w:val="24"/>
          <w:u w:val="single"/>
          <w14:textFill>
            <w14:solidFill>
              <w14:schemeClr w14:val="tx1"/>
            </w14:solidFill>
          </w14:textFill>
        </w:rPr>
        <w:t>月</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02</w:t>
      </w:r>
      <w:r>
        <w:rPr>
          <w:rFonts w:hint="eastAsia" w:asciiTheme="minorEastAsia" w:hAnsiTheme="minorEastAsia" w:eastAsiaTheme="minorEastAsia" w:cstheme="minorEastAsia"/>
          <w:color w:val="000000" w:themeColor="text1"/>
          <w:sz w:val="24"/>
          <w:u w:val="single"/>
          <w14:textFill>
            <w14:solidFill>
              <w14:schemeClr w14:val="tx1"/>
            </w14:solidFill>
          </w14:textFill>
        </w:rPr>
        <w:t>日，每天上午00:00至12:00，下午12:00至23:59（北京时间，法定节假日除外）</w:t>
      </w:r>
    </w:p>
    <w:p w14:paraId="6CE7D965">
      <w:pPr>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地点：</w:t>
      </w:r>
      <w:r>
        <w:rPr>
          <w:rFonts w:hint="eastAsia" w:ascii="宋体" w:hAnsi="宋体" w:cs="宋体"/>
          <w:sz w:val="24"/>
        </w:rPr>
        <w:t>政采云平台（https://www.zcygov.cn/）</w:t>
      </w:r>
    </w:p>
    <w:p w14:paraId="21D7C1CC">
      <w:pPr>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方式：</w:t>
      </w:r>
      <w:r>
        <w:rPr>
          <w:rFonts w:hint="eastAsia" w:ascii="宋体" w:hAnsi="宋体" w:cs="宋体"/>
          <w:kern w:val="0"/>
          <w:sz w:val="24"/>
        </w:rPr>
        <w:t>供应商登录政采云平台https://www.zcygov.cn/在线申请获取采购文件（进入“项目采购”应用，在获取采购文件菜单中选择项目，申请获取采购文件）</w:t>
      </w:r>
    </w:p>
    <w:p w14:paraId="5751F6D6">
      <w:pPr>
        <w:spacing w:line="360" w:lineRule="auto"/>
        <w:ind w:firstLine="539"/>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b/>
          <w:bCs/>
          <w:sz w:val="24"/>
          <w:lang w:val="zh-CN"/>
        </w:rPr>
        <w:t>售价：</w:t>
      </w:r>
      <w:r>
        <w:rPr>
          <w:rFonts w:hint="eastAsia" w:ascii="宋体" w:hAnsi="宋体" w:cs="宋体"/>
          <w:kern w:val="0"/>
          <w:sz w:val="24"/>
        </w:rPr>
        <w:t>0</w:t>
      </w:r>
      <w:r>
        <w:rPr>
          <w:rFonts w:hint="eastAsia" w:ascii="宋体" w:hAnsi="宋体" w:cs="宋体"/>
          <w:kern w:val="0"/>
          <w:sz w:val="24"/>
          <w:lang w:val="zh-CN"/>
        </w:rPr>
        <w:t>元/份</w:t>
      </w:r>
    </w:p>
    <w:p w14:paraId="1B89CE2D">
      <w:pPr>
        <w:spacing w:line="360" w:lineRule="auto"/>
        <w:outlineLvl w:val="1"/>
        <w:rPr>
          <w:rFonts w:asciiTheme="minorEastAsia" w:hAnsiTheme="minorEastAsia" w:eastAsiaTheme="minorEastAsia" w:cstheme="minorEastAsia"/>
          <w:b/>
          <w:bCs/>
          <w:color w:val="auto"/>
          <w:sz w:val="24"/>
        </w:rPr>
      </w:pPr>
      <w:bookmarkStart w:id="42" w:name="_Toc35393793"/>
      <w:bookmarkStart w:id="43" w:name="_Toc28359082"/>
      <w:bookmarkStart w:id="44" w:name="_Toc28359005"/>
      <w:bookmarkStart w:id="45" w:name="_Toc35393624"/>
      <w:bookmarkStart w:id="46" w:name="_Toc24601"/>
      <w:bookmarkStart w:id="47" w:name="_Toc17940"/>
      <w:bookmarkStart w:id="48" w:name="_Toc14642"/>
      <w:bookmarkStart w:id="49" w:name="_Toc29703"/>
      <w:bookmarkStart w:id="50" w:name="_Toc13059"/>
      <w:r>
        <w:rPr>
          <w:rFonts w:hint="eastAsia" w:asciiTheme="minorEastAsia" w:hAnsiTheme="minorEastAsia" w:eastAsiaTheme="minorEastAsia" w:cstheme="minorEastAsia"/>
          <w:b/>
          <w:bCs/>
          <w:sz w:val="24"/>
          <w:lang w:val="zh-CN"/>
        </w:rPr>
        <w:t>四、</w:t>
      </w:r>
      <w:bookmarkEnd w:id="42"/>
      <w:bookmarkEnd w:id="43"/>
      <w:bookmarkEnd w:id="44"/>
      <w:bookmarkEnd w:id="45"/>
      <w:r>
        <w:rPr>
          <w:rFonts w:hint="eastAsia" w:asciiTheme="minorEastAsia" w:hAnsiTheme="minorEastAsia" w:eastAsiaTheme="minorEastAsia" w:cstheme="minorEastAsia"/>
          <w:b/>
          <w:bCs/>
          <w:sz w:val="24"/>
        </w:rPr>
        <w:t>响应文件的提交</w:t>
      </w:r>
      <w:bookmarkEnd w:id="46"/>
      <w:bookmarkEnd w:id="47"/>
      <w:bookmarkEnd w:id="48"/>
      <w:bookmarkEnd w:id="49"/>
      <w:bookmarkEnd w:id="50"/>
    </w:p>
    <w:p w14:paraId="53FB63CD">
      <w:pPr>
        <w:spacing w:line="360" w:lineRule="auto"/>
        <w:ind w:firstLine="540"/>
        <w:rPr>
          <w:rFonts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截止时间：</w:t>
      </w:r>
      <w:r>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t>2025年07月08日上午09点00分</w:t>
      </w:r>
      <w:r>
        <w:rPr>
          <w:rFonts w:hint="eastAsia" w:asciiTheme="minorEastAsia" w:hAnsiTheme="minorEastAsia" w:eastAsiaTheme="minorEastAsia" w:cstheme="minorEastAsia"/>
          <w:color w:val="000000" w:themeColor="text1"/>
          <w:sz w:val="24"/>
          <w14:textFill>
            <w14:solidFill>
              <w14:schemeClr w14:val="tx1"/>
            </w14:solidFill>
          </w14:textFill>
        </w:rPr>
        <w:t>（北京时间）</w:t>
      </w:r>
    </w:p>
    <w:p w14:paraId="2B418855">
      <w:pPr>
        <w:pStyle w:val="29"/>
        <w:spacing w:before="0" w:beforeAutospacing="0" w:after="0" w:afterAutospacing="0" w:line="360" w:lineRule="auto"/>
        <w:ind w:firstLine="482" w:firstLineChars="200"/>
        <w:jc w:val="both"/>
        <w:outlineLvl w:val="1"/>
        <w:rPr>
          <w:rFonts w:asciiTheme="minorEastAsia" w:hAnsiTheme="minorEastAsia" w:eastAsiaTheme="minorEastAsia" w:cstheme="minorEastAsia"/>
          <w:b/>
          <w:bCs/>
          <w:color w:val="000000" w:themeColor="text1"/>
          <w:kern w:val="2"/>
          <w14:textFill>
            <w14:solidFill>
              <w14:schemeClr w14:val="tx1"/>
            </w14:solidFill>
          </w14:textFill>
        </w:rPr>
      </w:pPr>
      <w:bookmarkStart w:id="51" w:name="_Toc22703"/>
      <w:bookmarkStart w:id="52" w:name="_Toc31384"/>
      <w:bookmarkStart w:id="53" w:name="_Toc27416"/>
      <w:bookmarkStart w:id="54" w:name="_Toc15288"/>
      <w:bookmarkStart w:id="55" w:name="_Toc31718"/>
      <w:r>
        <w:rPr>
          <w:rFonts w:hint="eastAsia" w:asciiTheme="minorEastAsia" w:hAnsiTheme="minorEastAsia" w:eastAsiaTheme="minorEastAsia" w:cstheme="minorEastAsia"/>
          <w:b/>
          <w:bCs/>
          <w:kern w:val="2"/>
        </w:rPr>
        <w:t>地点（网址）：</w:t>
      </w:r>
      <w:r>
        <w:rPr>
          <w:rFonts w:hint="eastAsia" w:asciiTheme="minorEastAsia" w:hAnsiTheme="minorEastAsia" w:eastAsiaTheme="minorEastAsia" w:cstheme="minorEastAsia"/>
          <w:color w:val="000000" w:themeColor="text1"/>
          <w:kern w:val="2"/>
          <w14:textFill>
            <w14:solidFill>
              <w14:schemeClr w14:val="tx1"/>
            </w14:solidFill>
          </w14:textFill>
        </w:rPr>
        <w:t>政采云投标客户端（供应商应在磋商截止时间前按采购文件要求使用政采云电子投标客户端制作上传磋商响应文件，并在开标后30分钟内远程解密磋商响应文件。）</w:t>
      </w:r>
      <w:r>
        <w:rPr>
          <w:rFonts w:hint="eastAsia" w:asciiTheme="minorEastAsia" w:hAnsiTheme="minorEastAsia" w:eastAsiaTheme="minorEastAsia" w:cstheme="minorEastAsia"/>
          <w:b/>
          <w:bCs/>
          <w:color w:val="000000" w:themeColor="text1"/>
          <w:kern w:val="2"/>
          <w14:textFill>
            <w14:solidFill>
              <w14:schemeClr w14:val="tx1"/>
            </w14:solidFill>
          </w14:textFill>
        </w:rPr>
        <w:t> </w:t>
      </w:r>
      <w:bookmarkEnd w:id="51"/>
      <w:bookmarkEnd w:id="52"/>
    </w:p>
    <w:p w14:paraId="218541CD">
      <w:pPr>
        <w:pStyle w:val="29"/>
        <w:spacing w:before="0" w:beforeAutospacing="0" w:after="0" w:afterAutospacing="0" w:line="360" w:lineRule="auto"/>
        <w:jc w:val="both"/>
        <w:outlineLvl w:val="1"/>
        <w:rPr>
          <w:rFonts w:asciiTheme="minorEastAsia" w:hAnsiTheme="minorEastAsia" w:eastAsiaTheme="minorEastAsia" w:cstheme="minorEastAsia"/>
          <w:b/>
          <w:bCs/>
          <w:kern w:val="2"/>
        </w:rPr>
      </w:pPr>
      <w:bookmarkStart w:id="56" w:name="_Toc14247"/>
      <w:bookmarkStart w:id="57" w:name="_Toc118"/>
      <w:r>
        <w:rPr>
          <w:rFonts w:hint="eastAsia" w:asciiTheme="minorEastAsia" w:hAnsiTheme="minorEastAsia" w:eastAsiaTheme="minorEastAsia" w:cstheme="minorEastAsia"/>
          <w:b/>
          <w:bCs/>
          <w:kern w:val="2"/>
        </w:rPr>
        <w:t>五、响应文件开启</w:t>
      </w:r>
      <w:bookmarkEnd w:id="53"/>
      <w:bookmarkEnd w:id="54"/>
      <w:bookmarkEnd w:id="55"/>
      <w:bookmarkEnd w:id="56"/>
      <w:bookmarkEnd w:id="57"/>
    </w:p>
    <w:p w14:paraId="2204D0D2">
      <w:pPr>
        <w:pStyle w:val="29"/>
        <w:spacing w:before="0" w:beforeAutospacing="0" w:after="0" w:afterAutospacing="0" w:line="360" w:lineRule="auto"/>
        <w:ind w:firstLine="482" w:firstLineChars="200"/>
        <w:rPr>
          <w:rFonts w:asciiTheme="minorEastAsia" w:hAnsiTheme="minorEastAsia" w:eastAsiaTheme="minorEastAsia" w:cstheme="minorEastAsia"/>
        </w:rPr>
      </w:pPr>
      <w:r>
        <w:rPr>
          <w:rFonts w:hint="eastAsia" w:asciiTheme="minorEastAsia" w:hAnsiTheme="minorEastAsia" w:eastAsiaTheme="minorEastAsia" w:cstheme="minorEastAsia"/>
          <w:b/>
          <w:bCs/>
        </w:rPr>
        <w:t>开启时间</w:t>
      </w:r>
      <w:r>
        <w:rPr>
          <w:rFonts w:hint="eastAsia" w:asciiTheme="minorEastAsia" w:hAnsiTheme="minorEastAsia" w:eastAsiaTheme="minorEastAsia" w:cstheme="minorEastAsia"/>
          <w:b/>
          <w:bCs/>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t>2025年07月08日上午09点00分</w:t>
      </w:r>
      <w:r>
        <w:rPr>
          <w:rFonts w:hint="eastAsia" w:asciiTheme="minorEastAsia" w:hAnsiTheme="minorEastAsia" w:eastAsiaTheme="minorEastAsia" w:cstheme="minorEastAsia"/>
          <w:color w:val="000000" w:themeColor="text1"/>
          <w14:textFill>
            <w14:solidFill>
              <w14:schemeClr w14:val="tx1"/>
            </w14:solidFill>
          </w14:textFill>
        </w:rPr>
        <w:t>（北京时间）</w:t>
      </w:r>
    </w:p>
    <w:p w14:paraId="47B5CC32">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地点：</w:t>
      </w:r>
      <w:bookmarkStart w:id="58" w:name="_Toc7260"/>
      <w:bookmarkStart w:id="59" w:name="_Toc24901"/>
      <w:bookmarkStart w:id="60" w:name="_Toc28597"/>
      <w:bookmarkStart w:id="61" w:name="_Toc35393626"/>
      <w:bookmarkStart w:id="62" w:name="_Toc35393795"/>
      <w:r>
        <w:rPr>
          <w:rFonts w:hint="eastAsia" w:asciiTheme="minorEastAsia" w:hAnsiTheme="minorEastAsia" w:eastAsiaTheme="minorEastAsia" w:cstheme="minorEastAsia"/>
          <w:sz w:val="24"/>
        </w:rPr>
        <w:t>青海国德招标代理有限公司（</w:t>
      </w:r>
      <w:r>
        <w:rPr>
          <w:rFonts w:hint="eastAsia" w:asciiTheme="minorEastAsia" w:hAnsiTheme="minorEastAsia" w:eastAsiaTheme="minorEastAsia" w:cstheme="minorEastAsia"/>
          <w:bCs/>
          <w:sz w:val="24"/>
          <w:lang w:val="zh-CN"/>
        </w:rPr>
        <w:t>青海省西宁市城东区建国大街57号新千国际广场东区2号写字楼13楼</w:t>
      </w:r>
      <w:r>
        <w:rPr>
          <w:rFonts w:hint="eastAsia" w:asciiTheme="minorEastAsia" w:hAnsiTheme="minorEastAsia" w:eastAsiaTheme="minorEastAsia" w:cstheme="minorEastAsia"/>
          <w:sz w:val="24"/>
        </w:rPr>
        <w:t>）</w:t>
      </w:r>
    </w:p>
    <w:p w14:paraId="5AB32159">
      <w:pPr>
        <w:pStyle w:val="29"/>
        <w:spacing w:before="0" w:beforeAutospacing="0" w:after="0" w:afterAutospacing="0" w:line="360" w:lineRule="auto"/>
        <w:jc w:val="both"/>
        <w:outlineLvl w:val="1"/>
        <w:rPr>
          <w:rFonts w:asciiTheme="minorEastAsia" w:hAnsiTheme="minorEastAsia" w:eastAsiaTheme="minorEastAsia" w:cstheme="minorEastAsia"/>
          <w:b/>
          <w:bCs/>
        </w:rPr>
      </w:pPr>
      <w:bookmarkStart w:id="63" w:name="_Toc8022"/>
      <w:bookmarkStart w:id="64" w:name="_Toc16219"/>
      <w:r>
        <w:rPr>
          <w:rFonts w:hint="eastAsia" w:asciiTheme="minorEastAsia" w:hAnsiTheme="minorEastAsia" w:eastAsiaTheme="minorEastAsia" w:cstheme="minorEastAsia"/>
          <w:b/>
          <w:bCs/>
        </w:rPr>
        <w:t>六、公告期限</w:t>
      </w:r>
      <w:bookmarkEnd w:id="58"/>
      <w:bookmarkEnd w:id="59"/>
      <w:bookmarkEnd w:id="60"/>
      <w:bookmarkEnd w:id="63"/>
      <w:bookmarkEnd w:id="64"/>
    </w:p>
    <w:p w14:paraId="6ABF257D">
      <w:pPr>
        <w:pStyle w:val="29"/>
        <w:spacing w:before="0" w:beforeAutospacing="0" w:after="0" w:afterAutospacing="0" w:line="360" w:lineRule="auto"/>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自本公告发布之日起</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个工作日。</w:t>
      </w:r>
    </w:p>
    <w:p w14:paraId="192C2AA6">
      <w:pPr>
        <w:numPr>
          <w:ilvl w:val="0"/>
          <w:numId w:val="3"/>
        </w:numPr>
        <w:spacing w:line="360" w:lineRule="auto"/>
        <w:outlineLvl w:val="1"/>
        <w:rPr>
          <w:rFonts w:asciiTheme="minorEastAsia" w:hAnsiTheme="minorEastAsia" w:eastAsiaTheme="minorEastAsia" w:cstheme="minorEastAsia"/>
          <w:b/>
          <w:bCs/>
          <w:kern w:val="0"/>
          <w:sz w:val="24"/>
        </w:rPr>
      </w:pPr>
      <w:bookmarkStart w:id="65" w:name="_Toc11490"/>
      <w:bookmarkStart w:id="66" w:name="_Toc14683"/>
      <w:bookmarkStart w:id="67" w:name="_Toc16293"/>
      <w:bookmarkStart w:id="68" w:name="_Toc17717"/>
      <w:bookmarkStart w:id="69" w:name="_Toc2752"/>
      <w:r>
        <w:rPr>
          <w:rFonts w:hint="eastAsia" w:asciiTheme="minorEastAsia" w:hAnsiTheme="minorEastAsia" w:eastAsiaTheme="minorEastAsia" w:cstheme="minorEastAsia"/>
          <w:b/>
          <w:bCs/>
          <w:kern w:val="0"/>
          <w:sz w:val="24"/>
        </w:rPr>
        <w:t>其他补充事宜</w:t>
      </w:r>
      <w:bookmarkEnd w:id="61"/>
      <w:bookmarkEnd w:id="62"/>
      <w:bookmarkEnd w:id="65"/>
      <w:bookmarkEnd w:id="66"/>
      <w:bookmarkEnd w:id="67"/>
      <w:bookmarkEnd w:id="68"/>
      <w:bookmarkEnd w:id="69"/>
      <w:bookmarkStart w:id="70" w:name="_Toc35393636"/>
      <w:bookmarkStart w:id="71" w:name="_Toc28359095"/>
      <w:bookmarkStart w:id="72" w:name="_Toc35393805"/>
      <w:bookmarkStart w:id="73" w:name="_Toc28359018"/>
    </w:p>
    <w:p w14:paraId="11AF5872">
      <w:pPr>
        <w:numPr>
          <w:ilvl w:val="0"/>
          <w:numId w:val="4"/>
        </w:numPr>
        <w:spacing w:line="360" w:lineRule="auto"/>
        <w:ind w:firstLine="480" w:firstLineChars="200"/>
        <w:outlineLvl w:val="1"/>
        <w:rPr>
          <w:rFonts w:asciiTheme="minorEastAsia" w:hAnsiTheme="minorEastAsia" w:eastAsiaTheme="minorEastAsia" w:cstheme="minorEastAsia"/>
          <w:kern w:val="0"/>
          <w:sz w:val="24"/>
        </w:rPr>
      </w:pPr>
      <w:bookmarkStart w:id="74" w:name="_Toc31866"/>
      <w:bookmarkStart w:id="75" w:name="_Toc31957"/>
      <w:r>
        <w:rPr>
          <w:rFonts w:hint="eastAsia" w:asciiTheme="minorEastAsia" w:hAnsiTheme="minorEastAsia" w:eastAsiaTheme="minorEastAsia" w:cstheme="minorEastAsia"/>
          <w:kern w:val="0"/>
          <w:sz w:val="24"/>
        </w:rPr>
        <w:t>本项目采购采用线上提交响应文件的方式进行，响应文件必须在磋商截止时间前上传至平台，开标后30分钟内供应商远程解密响应文件（如非系统原因造成无法解密的或非系统原因加密文件上传不成功的或没办理CA锁而造成加密文件无法解密、加密文件无法上传的视为无效投标）。</w:t>
      </w:r>
      <w:bookmarkEnd w:id="74"/>
      <w:bookmarkEnd w:id="75"/>
    </w:p>
    <w:p w14:paraId="56E837D2">
      <w:pPr>
        <w:numPr>
          <w:ilvl w:val="0"/>
          <w:numId w:val="4"/>
        </w:numPr>
        <w:spacing w:line="360" w:lineRule="auto"/>
        <w:ind w:firstLine="480" w:firstLineChars="200"/>
        <w:outlineLvl w:val="1"/>
        <w:rPr>
          <w:rFonts w:asciiTheme="minorEastAsia" w:hAnsiTheme="minorEastAsia" w:eastAsiaTheme="minorEastAsia" w:cstheme="minorEastAsia"/>
          <w:kern w:val="0"/>
          <w:sz w:val="24"/>
        </w:rPr>
      </w:pPr>
      <w:bookmarkStart w:id="76" w:name="_Toc15963"/>
      <w:bookmarkStart w:id="77" w:name="_Toc2784"/>
      <w:r>
        <w:rPr>
          <w:rFonts w:hint="eastAsia" w:asciiTheme="minorEastAsia" w:hAnsiTheme="minorEastAsia" w:eastAsiaTheme="minorEastAsia" w:cstheme="minorEastAsia"/>
          <w:kern w:val="0"/>
          <w:sz w:val="24"/>
        </w:rPr>
        <w:t>若供应商对项目采购电子交易系统操作有疑问，可登录政采云（https://www.zcygov.cn/），点击右侧咨询小采，获取采小蜜智能服务管家帮助，或拨打政采云服务热线95763获取热线服务帮助；CA问题联系电话（人工）：天谷CA 400-087-8198。</w:t>
      </w:r>
      <w:bookmarkEnd w:id="76"/>
      <w:bookmarkEnd w:id="77"/>
    </w:p>
    <w:p w14:paraId="0E03A968">
      <w:pPr>
        <w:numPr>
          <w:ilvl w:val="0"/>
          <w:numId w:val="4"/>
        </w:numPr>
        <w:spacing w:line="360" w:lineRule="auto"/>
        <w:ind w:firstLine="480" w:firstLineChars="200"/>
        <w:outlineLvl w:val="1"/>
        <w:rPr>
          <w:rFonts w:asciiTheme="minorEastAsia" w:hAnsiTheme="minorEastAsia" w:eastAsiaTheme="minorEastAsia" w:cstheme="minorEastAsia"/>
          <w:kern w:val="0"/>
          <w:sz w:val="24"/>
        </w:rPr>
      </w:pPr>
      <w:bookmarkStart w:id="78" w:name="_Toc21561"/>
      <w:bookmarkStart w:id="79" w:name="_Toc22272"/>
      <w:r>
        <w:rPr>
          <w:rFonts w:hint="eastAsia" w:asciiTheme="minorEastAsia" w:hAnsiTheme="minorEastAsia" w:eastAsiaTheme="minorEastAsia" w:cstheme="minorEastAsia"/>
          <w:kern w:val="0"/>
          <w:sz w:val="24"/>
        </w:rPr>
        <w:t>本公告在《青海政府采购网》、《青海省电子招标投标公共服务平台》、《青海国德招标代理有限公司官网》同时发布。</w:t>
      </w:r>
      <w:bookmarkEnd w:id="78"/>
      <w:bookmarkEnd w:id="79"/>
    </w:p>
    <w:p w14:paraId="17C21B02">
      <w:pPr>
        <w:numPr>
          <w:ilvl w:val="0"/>
          <w:numId w:val="3"/>
        </w:numPr>
        <w:spacing w:line="360" w:lineRule="auto"/>
        <w:outlineLvl w:val="1"/>
        <w:rPr>
          <w:rFonts w:asciiTheme="minorEastAsia" w:hAnsiTheme="minorEastAsia" w:eastAsiaTheme="minorEastAsia" w:cstheme="minorEastAsia"/>
          <w:b/>
          <w:bCs/>
          <w:kern w:val="0"/>
          <w:sz w:val="24"/>
        </w:rPr>
      </w:pPr>
      <w:bookmarkStart w:id="80" w:name="_Toc15397"/>
      <w:bookmarkStart w:id="81" w:name="_Toc29248"/>
      <w:r>
        <w:rPr>
          <w:rFonts w:hint="eastAsia" w:asciiTheme="minorEastAsia" w:hAnsiTheme="minorEastAsia" w:eastAsiaTheme="minorEastAsia" w:cstheme="minorEastAsia"/>
          <w:b/>
          <w:bCs/>
          <w:kern w:val="0"/>
          <w:sz w:val="24"/>
        </w:rPr>
        <w:t>凡对本次采购提出询问，请按以下方式联系。</w:t>
      </w:r>
      <w:bookmarkEnd w:id="70"/>
      <w:bookmarkEnd w:id="71"/>
      <w:bookmarkEnd w:id="72"/>
      <w:bookmarkEnd w:id="73"/>
      <w:bookmarkEnd w:id="80"/>
      <w:bookmarkEnd w:id="81"/>
      <w:bookmarkStart w:id="82" w:name="_Toc28359019"/>
      <w:bookmarkStart w:id="83" w:name="_Toc35393806"/>
      <w:bookmarkStart w:id="84" w:name="_Toc35393637"/>
      <w:bookmarkStart w:id="85" w:name="_Toc28359096"/>
    </w:p>
    <w:p w14:paraId="082F6877">
      <w:pPr>
        <w:numPr>
          <w:ilvl w:val="0"/>
          <w:numId w:val="5"/>
        </w:numPr>
        <w:spacing w:line="360" w:lineRule="auto"/>
        <w:ind w:firstLine="480" w:firstLineChars="200"/>
        <w:outlineLvl w:val="2"/>
        <w:rPr>
          <w:rFonts w:asciiTheme="minorEastAsia" w:hAnsiTheme="minorEastAsia" w:eastAsiaTheme="minorEastAsia" w:cstheme="minorEastAsia"/>
          <w:bCs/>
          <w:sz w:val="24"/>
        </w:rPr>
      </w:pPr>
      <w:bookmarkStart w:id="86" w:name="_Toc27761"/>
      <w:bookmarkStart w:id="87" w:name="_Toc21884"/>
      <w:r>
        <w:rPr>
          <w:rFonts w:hint="eastAsia" w:asciiTheme="minorEastAsia" w:hAnsiTheme="minorEastAsia" w:eastAsiaTheme="minorEastAsia" w:cstheme="minorEastAsia"/>
          <w:bCs/>
          <w:sz w:val="24"/>
        </w:rPr>
        <w:t>采购人信息</w:t>
      </w:r>
      <w:bookmarkEnd w:id="82"/>
      <w:bookmarkEnd w:id="83"/>
      <w:bookmarkEnd w:id="84"/>
      <w:bookmarkEnd w:id="85"/>
      <w:bookmarkEnd w:id="86"/>
      <w:bookmarkEnd w:id="87"/>
      <w:bookmarkStart w:id="88" w:name="_Toc28359097"/>
      <w:bookmarkStart w:id="89" w:name="_Toc35393638"/>
      <w:bookmarkStart w:id="90" w:name="_Toc28359020"/>
      <w:bookmarkStart w:id="91" w:name="_Toc35393807"/>
    </w:p>
    <w:p w14:paraId="30C1EE76">
      <w:pPr>
        <w:spacing w:line="360" w:lineRule="auto"/>
        <w:ind w:firstLine="480" w:firstLineChars="200"/>
        <w:outlineLvl w:val="1"/>
        <w:rPr>
          <w:rFonts w:asciiTheme="minorEastAsia" w:hAnsiTheme="minorEastAsia" w:eastAsiaTheme="minorEastAsia" w:cstheme="minorEastAsia"/>
          <w:bCs/>
          <w:sz w:val="24"/>
          <w:lang w:val="zh-CN"/>
        </w:rPr>
      </w:pPr>
      <w:bookmarkStart w:id="92" w:name="_Toc26490"/>
      <w:bookmarkStart w:id="93" w:name="_Toc1681"/>
      <w:r>
        <w:rPr>
          <w:rFonts w:hint="eastAsia" w:asciiTheme="minorEastAsia" w:hAnsiTheme="minorEastAsia" w:eastAsiaTheme="minorEastAsia" w:cstheme="minorEastAsia"/>
          <w:bCs/>
          <w:sz w:val="24"/>
        </w:rPr>
        <w:t>名   称：</w:t>
      </w:r>
      <w:bookmarkEnd w:id="92"/>
      <w:bookmarkEnd w:id="93"/>
      <w:r>
        <w:rPr>
          <w:rFonts w:hint="eastAsia" w:asciiTheme="minorEastAsia" w:hAnsiTheme="minorEastAsia" w:eastAsiaTheme="minorEastAsia" w:cstheme="minorEastAsia"/>
          <w:bCs/>
          <w:sz w:val="24"/>
          <w:lang w:val="zh-CN"/>
        </w:rPr>
        <w:t>青海省养老服务中心</w:t>
      </w:r>
    </w:p>
    <w:p w14:paraId="3F3D7C08">
      <w:pPr>
        <w:spacing w:line="360" w:lineRule="auto"/>
        <w:ind w:firstLine="480" w:firstLineChars="200"/>
        <w:outlineLvl w:val="1"/>
        <w:rPr>
          <w:rFonts w:asciiTheme="minorEastAsia" w:hAnsiTheme="minorEastAsia" w:eastAsiaTheme="minorEastAsia" w:cstheme="minorEastAsia"/>
          <w:bCs/>
          <w:color w:val="auto"/>
          <w:sz w:val="24"/>
        </w:rPr>
      </w:pPr>
      <w:bookmarkStart w:id="94" w:name="_Toc17982"/>
      <w:bookmarkStart w:id="95" w:name="_Toc20275"/>
      <w:r>
        <w:rPr>
          <w:rFonts w:hint="eastAsia" w:asciiTheme="minorEastAsia" w:hAnsiTheme="minorEastAsia" w:eastAsiaTheme="minorEastAsia" w:cstheme="minorEastAsia"/>
          <w:bCs/>
          <w:color w:val="auto"/>
          <w:sz w:val="24"/>
        </w:rPr>
        <w:t>地   址：</w:t>
      </w:r>
      <w:bookmarkEnd w:id="94"/>
      <w:bookmarkEnd w:id="95"/>
      <w:r>
        <w:rPr>
          <w:rFonts w:hint="eastAsia" w:asciiTheme="minorEastAsia" w:hAnsiTheme="minorEastAsia" w:eastAsiaTheme="minorEastAsia" w:cstheme="minorEastAsia"/>
          <w:bCs/>
          <w:color w:val="auto"/>
          <w:sz w:val="24"/>
          <w:lang w:eastAsia="zh-CN"/>
        </w:rPr>
        <w:t xml:space="preserve">青海省西宁市城东区经济技术开发区开元路 9 号 </w:t>
      </w:r>
      <w:r>
        <w:rPr>
          <w:rFonts w:hint="eastAsia" w:asciiTheme="minorEastAsia" w:hAnsiTheme="minorEastAsia" w:eastAsiaTheme="minorEastAsia" w:cstheme="minorEastAsia"/>
          <w:bCs/>
          <w:color w:val="auto"/>
          <w:sz w:val="24"/>
        </w:rPr>
        <w:t xml:space="preserve">  </w:t>
      </w:r>
    </w:p>
    <w:p w14:paraId="25823EC5">
      <w:pPr>
        <w:spacing w:line="360" w:lineRule="auto"/>
        <w:ind w:firstLine="480" w:firstLineChars="200"/>
        <w:outlineLvl w:val="1"/>
        <w:rPr>
          <w:rFonts w:asciiTheme="minorEastAsia" w:hAnsiTheme="minorEastAsia" w:eastAsiaTheme="minorEastAsia" w:cstheme="minorEastAsia"/>
          <w:bCs/>
          <w:color w:val="000000" w:themeColor="text1"/>
          <w:sz w:val="24"/>
          <w14:textFill>
            <w14:solidFill>
              <w14:schemeClr w14:val="tx1"/>
            </w14:solidFill>
          </w14:textFill>
        </w:rPr>
      </w:pPr>
      <w:bookmarkStart w:id="96" w:name="_Toc10272"/>
      <w:bookmarkStart w:id="97" w:name="_Toc21576"/>
      <w:r>
        <w:rPr>
          <w:rFonts w:hint="eastAsia" w:asciiTheme="minorEastAsia" w:hAnsiTheme="minorEastAsia" w:eastAsiaTheme="minorEastAsia" w:cstheme="minorEastAsia"/>
          <w:bCs/>
          <w:color w:val="000000" w:themeColor="text1"/>
          <w:sz w:val="24"/>
          <w14:textFill>
            <w14:solidFill>
              <w14:schemeClr w14:val="tx1"/>
            </w14:solidFill>
          </w14:textFill>
        </w:rPr>
        <w:t>项目联系人：</w:t>
      </w:r>
      <w:bookmarkEnd w:id="96"/>
      <w:bookmarkEnd w:id="97"/>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缪老师</w:t>
      </w:r>
    </w:p>
    <w:p w14:paraId="63E57768">
      <w:pPr>
        <w:spacing w:line="360" w:lineRule="auto"/>
        <w:ind w:firstLine="480" w:firstLineChars="200"/>
        <w:outlineLvl w:val="1"/>
        <w:rPr>
          <w:rFonts w:hint="eastAsia" w:asciiTheme="minorEastAsia" w:hAnsiTheme="minorEastAsia" w:eastAsiaTheme="minorEastAsia" w:cstheme="minorEastAsia"/>
          <w:bCs/>
          <w:color w:val="000000" w:themeColor="text1"/>
          <w:sz w:val="24"/>
          <w:lang w:eastAsia="zh-CN"/>
          <w14:textFill>
            <w14:solidFill>
              <w14:schemeClr w14:val="tx1"/>
            </w14:solidFill>
          </w14:textFill>
        </w:rPr>
      </w:pPr>
      <w:bookmarkStart w:id="98" w:name="_Toc7509"/>
      <w:bookmarkStart w:id="99" w:name="_Toc29069"/>
      <w:r>
        <w:rPr>
          <w:rFonts w:hint="eastAsia" w:asciiTheme="minorEastAsia" w:hAnsiTheme="minorEastAsia" w:eastAsiaTheme="minorEastAsia" w:cstheme="minorEastAsia"/>
          <w:bCs/>
          <w:color w:val="000000" w:themeColor="text1"/>
          <w:sz w:val="24"/>
          <w14:textFill>
            <w14:solidFill>
              <w14:schemeClr w14:val="tx1"/>
            </w14:solidFill>
          </w14:textFill>
        </w:rPr>
        <w:t>联系方式：</w:t>
      </w:r>
      <w:bookmarkEnd w:id="98"/>
      <w:bookmarkEnd w:id="99"/>
      <w:bookmarkStart w:id="100" w:name="_Toc4758"/>
      <w:bookmarkStart w:id="101" w:name="_Toc21020"/>
      <w:r>
        <w:rPr>
          <w:rFonts w:hint="eastAsia" w:asciiTheme="minorEastAsia" w:hAnsiTheme="minorEastAsia" w:eastAsiaTheme="minorEastAsia" w:cstheme="minorEastAsia"/>
          <w:bCs/>
          <w:color w:val="000000" w:themeColor="text1"/>
          <w:sz w:val="24"/>
          <w:lang w:eastAsia="zh-CN"/>
          <w14:textFill>
            <w14:solidFill>
              <w14:schemeClr w14:val="tx1"/>
            </w14:solidFill>
          </w14:textFill>
        </w:rPr>
        <w:t>18309718545</w:t>
      </w:r>
    </w:p>
    <w:p w14:paraId="017927FE">
      <w:pPr>
        <w:numPr>
          <w:ilvl w:val="0"/>
          <w:numId w:val="5"/>
        </w:numPr>
        <w:spacing w:line="360" w:lineRule="auto"/>
        <w:ind w:left="0" w:leftChars="0" w:firstLine="480" w:firstLineChars="200"/>
        <w:outlineLvl w:val="1"/>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采购代理机构信息</w:t>
      </w:r>
      <w:bookmarkEnd w:id="88"/>
      <w:bookmarkEnd w:id="89"/>
      <w:bookmarkEnd w:id="90"/>
      <w:bookmarkEnd w:id="91"/>
      <w:bookmarkEnd w:id="100"/>
      <w:bookmarkEnd w:id="101"/>
      <w:bookmarkStart w:id="102" w:name="_Toc2494"/>
      <w:bookmarkStart w:id="103" w:name="_Toc1969"/>
      <w:bookmarkStart w:id="104" w:name="_Toc31969"/>
    </w:p>
    <w:p w14:paraId="2AE02BDE">
      <w:pPr>
        <w:numPr>
          <w:ilvl w:val="0"/>
          <w:numId w:val="0"/>
        </w:numPr>
        <w:spacing w:line="360" w:lineRule="auto"/>
        <w:ind w:firstLine="480" w:firstLineChars="200"/>
        <w:outlineLvl w:val="1"/>
        <w:rPr>
          <w:rFonts w:hint="eastAsia"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名    称：</w:t>
      </w:r>
      <w:r>
        <w:rPr>
          <w:rFonts w:hint="eastAsia" w:asciiTheme="minorEastAsia" w:hAnsiTheme="minorEastAsia" w:eastAsiaTheme="minorEastAsia" w:cstheme="minorEastAsia"/>
          <w:bCs/>
          <w:sz w:val="24"/>
          <w:lang w:val="zh-CN"/>
        </w:rPr>
        <w:t>青海国德招标代理有限公司</w:t>
      </w:r>
      <w:bookmarkEnd w:id="102"/>
      <w:bookmarkEnd w:id="103"/>
      <w:bookmarkEnd w:id="104"/>
      <w:bookmarkStart w:id="105" w:name="_Toc24299"/>
      <w:bookmarkStart w:id="106" w:name="_Toc8233"/>
    </w:p>
    <w:p w14:paraId="0B526D50">
      <w:pPr>
        <w:numPr>
          <w:ilvl w:val="0"/>
          <w:numId w:val="0"/>
        </w:numPr>
        <w:spacing w:line="360" w:lineRule="auto"/>
        <w:ind w:firstLine="480" w:firstLineChars="200"/>
        <w:outlineLvl w:val="1"/>
        <w:rPr>
          <w:rFonts w:hint="eastAsia"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地    址：</w:t>
      </w:r>
      <w:bookmarkEnd w:id="105"/>
      <w:bookmarkEnd w:id="106"/>
      <w:bookmarkStart w:id="107" w:name="_Toc4902"/>
      <w:bookmarkStart w:id="108" w:name="_Toc19533"/>
      <w:r>
        <w:rPr>
          <w:rFonts w:hint="eastAsia" w:asciiTheme="minorEastAsia" w:hAnsiTheme="minorEastAsia" w:eastAsiaTheme="minorEastAsia" w:cstheme="minorEastAsia"/>
          <w:bCs/>
          <w:sz w:val="24"/>
          <w:lang w:val="zh-CN"/>
        </w:rPr>
        <w:t>青海省西宁市城东区建国大街57号新千国际广场东区2号写字楼13楼</w:t>
      </w:r>
    </w:p>
    <w:p w14:paraId="1002A99F">
      <w:pPr>
        <w:numPr>
          <w:ilvl w:val="0"/>
          <w:numId w:val="0"/>
        </w:numPr>
        <w:spacing w:line="360" w:lineRule="auto"/>
        <w:ind w:firstLine="480" w:firstLineChars="200"/>
        <w:outlineLvl w:val="1"/>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项目联系人：</w:t>
      </w:r>
      <w:bookmarkEnd w:id="107"/>
      <w:bookmarkEnd w:id="108"/>
      <w:bookmarkStart w:id="109" w:name="_Toc17322"/>
      <w:bookmarkStart w:id="110" w:name="_Toc28708"/>
      <w:r>
        <w:rPr>
          <w:rFonts w:hint="eastAsia" w:asciiTheme="minorEastAsia" w:hAnsiTheme="minorEastAsia" w:eastAsiaTheme="minorEastAsia" w:cstheme="minorEastAsia"/>
          <w:bCs/>
          <w:sz w:val="24"/>
          <w:lang w:val="en-US" w:eastAsia="zh-CN"/>
        </w:rPr>
        <w:t>马女士</w:t>
      </w:r>
    </w:p>
    <w:p w14:paraId="3ACBAFEA">
      <w:pPr>
        <w:numPr>
          <w:ilvl w:val="0"/>
          <w:numId w:val="0"/>
        </w:numPr>
        <w:spacing w:line="360" w:lineRule="auto"/>
        <w:ind w:firstLine="480" w:firstLineChars="200"/>
        <w:outlineLvl w:val="1"/>
        <w:rPr>
          <w:rFonts w:asciiTheme="minorEastAsia" w:hAnsiTheme="minorEastAsia" w:eastAsiaTheme="minorEastAsia" w:cstheme="minorEastAsia"/>
          <w:kern w:val="0"/>
          <w:sz w:val="24"/>
        </w:rPr>
      </w:pPr>
      <w:r>
        <w:rPr>
          <w:rFonts w:hint="eastAsia" w:asciiTheme="minorEastAsia" w:hAnsiTheme="minorEastAsia" w:eastAsiaTheme="minorEastAsia" w:cstheme="minorEastAsia"/>
          <w:bCs/>
          <w:sz w:val="24"/>
        </w:rPr>
        <w:t>电    话：0971-8278117</w:t>
      </w:r>
      <w:bookmarkEnd w:id="109"/>
      <w:bookmarkEnd w:id="110"/>
    </w:p>
    <w:p w14:paraId="2BC43DAC">
      <w:pPr>
        <w:adjustRightInd w:val="0"/>
        <w:spacing w:line="360" w:lineRule="auto"/>
        <w:jc w:val="right"/>
        <w:textAlignment w:val="baseline"/>
        <w:rPr>
          <w:rFonts w:ascii="宋体" w:hAnsi="宋体"/>
          <w:sz w:val="24"/>
        </w:rPr>
      </w:pPr>
    </w:p>
    <w:p w14:paraId="312F0F98">
      <w:pPr>
        <w:pStyle w:val="24"/>
        <w:spacing w:before="0" w:after="0" w:line="360" w:lineRule="auto"/>
        <w:outlineLvl w:val="0"/>
        <w:rPr>
          <w:rFonts w:hint="eastAsia" w:ascii="宋体" w:hAnsi="宋体"/>
          <w:sz w:val="48"/>
        </w:rPr>
        <w:sectPr>
          <w:headerReference r:id="rId8" w:type="first"/>
          <w:footerReference r:id="rId10" w:type="first"/>
          <w:footerReference r:id="rId9" w:type="default"/>
          <w:pgSz w:w="11906" w:h="16838"/>
          <w:pgMar w:top="283" w:right="1247" w:bottom="283" w:left="1247" w:header="567" w:footer="567" w:gutter="0"/>
          <w:pgNumType w:fmt="decimal" w:start="1"/>
          <w:cols w:space="720" w:num="1"/>
          <w:titlePg/>
          <w:docGrid w:linePitch="312" w:charSpace="0"/>
        </w:sectPr>
      </w:pPr>
      <w:bookmarkStart w:id="111" w:name="_Toc5165"/>
      <w:bookmarkStart w:id="112" w:name="_Toc1430"/>
      <w:bookmarkStart w:id="113" w:name="_Toc444715734"/>
      <w:bookmarkStart w:id="114" w:name="_Toc27981"/>
    </w:p>
    <w:p w14:paraId="36702234">
      <w:pPr>
        <w:pStyle w:val="24"/>
        <w:spacing w:before="0" w:after="0" w:line="360" w:lineRule="auto"/>
        <w:outlineLvl w:val="0"/>
        <w:rPr>
          <w:lang w:val="zh-CN"/>
        </w:rPr>
      </w:pPr>
      <w:r>
        <w:rPr>
          <w:rFonts w:hint="eastAsia" w:ascii="宋体" w:hAnsi="宋体"/>
          <w:sz w:val="48"/>
        </w:rPr>
        <w:t>第二部分  磋商供应商须知</w:t>
      </w:r>
      <w:bookmarkEnd w:id="111"/>
      <w:bookmarkEnd w:id="112"/>
      <w:bookmarkEnd w:id="113"/>
      <w:bookmarkEnd w:id="114"/>
    </w:p>
    <w:p w14:paraId="63003026">
      <w:pPr>
        <w:pStyle w:val="4"/>
        <w:numPr>
          <w:ilvl w:val="0"/>
          <w:numId w:val="6"/>
        </w:numPr>
        <w:spacing w:beforeLines="100" w:afterLines="100"/>
        <w:jc w:val="center"/>
        <w:outlineLvl w:val="1"/>
        <w:rPr>
          <w:rFonts w:hAnsi="宋体" w:cs="宋体"/>
          <w:b/>
          <w:sz w:val="32"/>
          <w:szCs w:val="32"/>
        </w:rPr>
      </w:pPr>
      <w:bookmarkStart w:id="115" w:name="_Toc4916"/>
      <w:bookmarkStart w:id="116" w:name="_Toc30166"/>
      <w:r>
        <w:rPr>
          <w:rFonts w:hint="eastAsia" w:hAnsi="宋体" w:cs="宋体"/>
          <w:b/>
          <w:sz w:val="32"/>
          <w:szCs w:val="32"/>
        </w:rPr>
        <w:t>说明</w:t>
      </w:r>
      <w:bookmarkEnd w:id="115"/>
      <w:bookmarkEnd w:id="116"/>
    </w:p>
    <w:p w14:paraId="62B21376">
      <w:pPr>
        <w:pStyle w:val="6"/>
        <w:spacing w:beforeLines="50" w:afterLines="50" w:line="360" w:lineRule="auto"/>
        <w:outlineLvl w:val="2"/>
        <w:rPr>
          <w:rFonts w:ascii="宋体" w:hAnsi="宋体" w:cs="宋体"/>
          <w:bCs w:val="0"/>
        </w:rPr>
      </w:pPr>
      <w:bookmarkStart w:id="117" w:name="_Toc495570969"/>
      <w:bookmarkStart w:id="118" w:name="_Toc31327"/>
      <w:bookmarkStart w:id="119" w:name="_Toc2418"/>
      <w:bookmarkStart w:id="120" w:name="_Toc18589"/>
      <w:bookmarkStart w:id="121" w:name="_Toc446427794"/>
      <w:bookmarkStart w:id="122" w:name="_Toc26337"/>
      <w:bookmarkStart w:id="123" w:name="_Toc459377860"/>
      <w:bookmarkStart w:id="124" w:name="_Toc4444"/>
      <w:bookmarkStart w:id="125" w:name="_Toc2741"/>
      <w:bookmarkStart w:id="126" w:name="_Toc488691479"/>
      <w:r>
        <w:rPr>
          <w:rFonts w:hint="eastAsia" w:ascii="宋体" w:hAnsi="宋体" w:cs="宋体"/>
          <w:bCs w:val="0"/>
        </w:rPr>
        <w:t>1.磋商内容及要求</w:t>
      </w:r>
      <w:bookmarkEnd w:id="117"/>
      <w:bookmarkEnd w:id="118"/>
      <w:bookmarkEnd w:id="119"/>
      <w:bookmarkEnd w:id="120"/>
      <w:bookmarkEnd w:id="121"/>
      <w:bookmarkEnd w:id="122"/>
      <w:bookmarkEnd w:id="123"/>
      <w:bookmarkEnd w:id="124"/>
      <w:bookmarkEnd w:id="125"/>
      <w:bookmarkEnd w:id="126"/>
    </w:p>
    <w:p w14:paraId="6CEAE9F0">
      <w:pPr>
        <w:pStyle w:val="17"/>
        <w:spacing w:beforeLines="50" w:afterLines="50" w:line="360" w:lineRule="auto"/>
        <w:ind w:firstLine="480" w:firstLineChars="200"/>
        <w:rPr>
          <w:rFonts w:hAnsi="宋体"/>
          <w:sz w:val="24"/>
          <w:szCs w:val="28"/>
        </w:rPr>
      </w:pPr>
      <w:r>
        <w:rPr>
          <w:rFonts w:hint="eastAsia" w:hAnsi="宋体"/>
          <w:sz w:val="24"/>
          <w:szCs w:val="28"/>
        </w:rPr>
        <w:t>本次采购依据采购单位的采购计划，仅适用于本竞争性磋商文件（以下简称“磋商文件”）中所叙述的项目。</w:t>
      </w:r>
    </w:p>
    <w:p w14:paraId="1049649E">
      <w:pPr>
        <w:pStyle w:val="6"/>
        <w:spacing w:beforeLines="50" w:afterLines="50" w:line="360" w:lineRule="auto"/>
        <w:outlineLvl w:val="2"/>
        <w:rPr>
          <w:rFonts w:ascii="宋体" w:hAnsi="宋体" w:cs="宋体"/>
          <w:bCs w:val="0"/>
        </w:rPr>
      </w:pPr>
      <w:bookmarkStart w:id="127" w:name="_Toc24359"/>
      <w:bookmarkStart w:id="128" w:name="_Toc10386"/>
      <w:bookmarkStart w:id="129" w:name="_Toc488673614"/>
      <w:bookmarkStart w:id="130" w:name="_Toc26086"/>
      <w:bookmarkStart w:id="131" w:name="_Toc18797"/>
      <w:bookmarkStart w:id="132" w:name="_Toc5052"/>
      <w:bookmarkStart w:id="133" w:name="_Toc28971"/>
      <w:r>
        <w:rPr>
          <w:rFonts w:hint="eastAsia" w:ascii="宋体" w:hAnsi="宋体" w:cs="宋体"/>
          <w:bCs w:val="0"/>
        </w:rPr>
        <w:t>2.采购方式、合格的磋商供应商</w:t>
      </w:r>
      <w:bookmarkEnd w:id="127"/>
      <w:bookmarkEnd w:id="128"/>
      <w:bookmarkEnd w:id="129"/>
      <w:bookmarkEnd w:id="130"/>
      <w:bookmarkEnd w:id="131"/>
      <w:bookmarkEnd w:id="132"/>
      <w:bookmarkEnd w:id="133"/>
    </w:p>
    <w:p w14:paraId="13118F01">
      <w:pPr>
        <w:pStyle w:val="17"/>
        <w:spacing w:beforeLines="50" w:afterLines="50" w:line="360" w:lineRule="auto"/>
        <w:ind w:left="141" w:firstLine="240" w:firstLineChars="100"/>
        <w:rPr>
          <w:rFonts w:hAnsi="宋体"/>
          <w:sz w:val="24"/>
          <w:szCs w:val="28"/>
        </w:rPr>
      </w:pPr>
      <w:r>
        <w:rPr>
          <w:rFonts w:hint="eastAsia" w:hAnsi="宋体"/>
          <w:sz w:val="24"/>
          <w:szCs w:val="28"/>
        </w:rPr>
        <w:t>2.1本次磋商采取竞争性磋商方式；</w:t>
      </w:r>
    </w:p>
    <w:p w14:paraId="0A46217A">
      <w:pPr>
        <w:pStyle w:val="17"/>
        <w:spacing w:beforeLines="50" w:afterLines="50" w:line="360" w:lineRule="auto"/>
        <w:ind w:left="141" w:firstLine="240" w:firstLineChars="100"/>
        <w:rPr>
          <w:rFonts w:hAnsi="宋体" w:cs="Arial"/>
          <w:sz w:val="24"/>
          <w:szCs w:val="24"/>
        </w:rPr>
      </w:pPr>
      <w:r>
        <w:rPr>
          <w:rFonts w:hint="eastAsia" w:hAnsi="宋体" w:cs="Arial"/>
          <w:sz w:val="24"/>
          <w:szCs w:val="24"/>
        </w:rPr>
        <w:t>2.2</w:t>
      </w:r>
      <w:r>
        <w:rPr>
          <w:rFonts w:hAnsi="宋体" w:cs="Arial"/>
          <w:sz w:val="24"/>
          <w:szCs w:val="24"/>
        </w:rPr>
        <w:t>合格的磋商供应商：</w:t>
      </w:r>
      <w:r>
        <w:rPr>
          <w:rFonts w:hint="eastAsia" w:hAnsi="宋体" w:cs="Arial"/>
          <w:sz w:val="24"/>
          <w:szCs w:val="24"/>
        </w:rPr>
        <w:t>详见第一部分“供应商资格要求”。</w:t>
      </w:r>
    </w:p>
    <w:p w14:paraId="4B66F572">
      <w:pPr>
        <w:pStyle w:val="6"/>
        <w:spacing w:beforeLines="50" w:afterLines="50" w:line="360" w:lineRule="auto"/>
        <w:outlineLvl w:val="2"/>
        <w:rPr>
          <w:rFonts w:ascii="宋体" w:hAnsi="宋体" w:cs="宋体"/>
          <w:bCs w:val="0"/>
        </w:rPr>
      </w:pPr>
      <w:bookmarkStart w:id="134" w:name="_Toc23844"/>
      <w:bookmarkStart w:id="135" w:name="_Toc488673615"/>
      <w:bookmarkStart w:id="136" w:name="_Toc20877"/>
      <w:bookmarkStart w:id="137" w:name="_Toc14206"/>
      <w:bookmarkStart w:id="138" w:name="_Toc28011"/>
      <w:bookmarkStart w:id="139" w:name="_Toc23172"/>
      <w:bookmarkStart w:id="140" w:name="_Toc10786"/>
      <w:r>
        <w:rPr>
          <w:rFonts w:hint="eastAsia" w:ascii="宋体" w:hAnsi="宋体" w:cs="宋体"/>
          <w:bCs w:val="0"/>
        </w:rPr>
        <w:t>3.磋商费用</w:t>
      </w:r>
      <w:bookmarkEnd w:id="134"/>
      <w:bookmarkEnd w:id="135"/>
      <w:bookmarkEnd w:id="136"/>
      <w:bookmarkEnd w:id="137"/>
      <w:bookmarkEnd w:id="138"/>
      <w:bookmarkEnd w:id="139"/>
      <w:bookmarkEnd w:id="140"/>
    </w:p>
    <w:p w14:paraId="3BFBAE88">
      <w:pPr>
        <w:pStyle w:val="17"/>
        <w:spacing w:beforeLines="50" w:afterLines="50" w:line="360" w:lineRule="auto"/>
        <w:ind w:firstLine="480" w:firstLineChars="200"/>
        <w:rPr>
          <w:rFonts w:hAnsi="宋体"/>
          <w:b/>
          <w:sz w:val="24"/>
          <w:szCs w:val="28"/>
        </w:rPr>
      </w:pPr>
      <w:r>
        <w:rPr>
          <w:rFonts w:hint="eastAsia" w:hAnsi="宋体"/>
          <w:sz w:val="24"/>
          <w:szCs w:val="28"/>
        </w:rPr>
        <w:t>磋商供应商应自愿承担与参加本次磋商有关的费用。采购代理机构对磋商供应商发生的费用不承担任何责任。</w:t>
      </w:r>
    </w:p>
    <w:p w14:paraId="4E659EF7">
      <w:pPr>
        <w:pStyle w:val="4"/>
        <w:numPr>
          <w:ilvl w:val="0"/>
          <w:numId w:val="6"/>
        </w:numPr>
        <w:spacing w:beforeLines="100" w:afterLines="100"/>
        <w:jc w:val="center"/>
        <w:outlineLvl w:val="1"/>
        <w:rPr>
          <w:rFonts w:hAnsi="宋体" w:cs="宋体"/>
          <w:b/>
          <w:sz w:val="32"/>
          <w:szCs w:val="32"/>
        </w:rPr>
      </w:pPr>
      <w:bookmarkStart w:id="141" w:name="_Toc24332"/>
      <w:bookmarkStart w:id="142" w:name="_Toc24540"/>
      <w:r>
        <w:rPr>
          <w:rFonts w:hint="eastAsia" w:hAnsi="宋体" w:cs="宋体"/>
          <w:b/>
          <w:sz w:val="32"/>
          <w:szCs w:val="32"/>
        </w:rPr>
        <w:t>磋商文件说明</w:t>
      </w:r>
      <w:bookmarkEnd w:id="141"/>
      <w:bookmarkEnd w:id="142"/>
    </w:p>
    <w:p w14:paraId="3DB15188">
      <w:pPr>
        <w:pStyle w:val="6"/>
        <w:spacing w:beforeLines="50" w:afterLines="50" w:line="360" w:lineRule="auto"/>
        <w:outlineLvl w:val="2"/>
        <w:rPr>
          <w:rFonts w:ascii="宋体" w:hAnsi="宋体" w:cs="宋体"/>
          <w:bCs w:val="0"/>
        </w:rPr>
      </w:pPr>
      <w:bookmarkStart w:id="143" w:name="_Toc7877"/>
      <w:bookmarkStart w:id="144" w:name="_Toc28626"/>
      <w:bookmarkStart w:id="145" w:name="_Toc3684"/>
      <w:bookmarkStart w:id="146" w:name="_Toc488673617"/>
      <w:bookmarkStart w:id="147" w:name="_Toc9818"/>
      <w:bookmarkStart w:id="148" w:name="_Toc1474"/>
      <w:bookmarkStart w:id="149" w:name="_Toc4698"/>
      <w:r>
        <w:rPr>
          <w:rFonts w:hint="eastAsia" w:ascii="宋体" w:hAnsi="宋体" w:cs="宋体"/>
          <w:bCs w:val="0"/>
        </w:rPr>
        <w:t>4.磋商文件的构成</w:t>
      </w:r>
      <w:bookmarkEnd w:id="143"/>
      <w:bookmarkEnd w:id="144"/>
      <w:bookmarkEnd w:id="145"/>
      <w:bookmarkEnd w:id="146"/>
      <w:bookmarkEnd w:id="147"/>
      <w:bookmarkEnd w:id="148"/>
      <w:bookmarkEnd w:id="149"/>
    </w:p>
    <w:p w14:paraId="34CA4BF5">
      <w:pPr>
        <w:pStyle w:val="17"/>
        <w:spacing w:line="360" w:lineRule="auto"/>
        <w:ind w:left="141" w:firstLine="240" w:firstLineChars="100"/>
        <w:rPr>
          <w:rFonts w:hAnsi="宋体"/>
          <w:sz w:val="24"/>
          <w:szCs w:val="28"/>
        </w:rPr>
      </w:pPr>
      <w:r>
        <w:rPr>
          <w:rFonts w:hint="eastAsia" w:hAnsi="宋体"/>
          <w:sz w:val="24"/>
          <w:szCs w:val="28"/>
        </w:rPr>
        <w:t>4.1磋商文件包括：</w:t>
      </w:r>
    </w:p>
    <w:p w14:paraId="759ADC78">
      <w:pPr>
        <w:pStyle w:val="17"/>
        <w:numPr>
          <w:ilvl w:val="0"/>
          <w:numId w:val="7"/>
        </w:numPr>
        <w:spacing w:line="360" w:lineRule="auto"/>
        <w:ind w:hanging="5"/>
        <w:rPr>
          <w:rFonts w:hAnsi="宋体" w:cs="Arial"/>
          <w:sz w:val="24"/>
          <w:szCs w:val="24"/>
        </w:rPr>
      </w:pPr>
      <w:r>
        <w:rPr>
          <w:rFonts w:hint="eastAsia" w:hAnsi="宋体" w:cs="Arial"/>
          <w:sz w:val="24"/>
          <w:szCs w:val="24"/>
        </w:rPr>
        <w:t>磋商邀请；</w:t>
      </w:r>
    </w:p>
    <w:p w14:paraId="30E305B8">
      <w:pPr>
        <w:pStyle w:val="17"/>
        <w:numPr>
          <w:ilvl w:val="0"/>
          <w:numId w:val="7"/>
        </w:numPr>
        <w:spacing w:line="360" w:lineRule="auto"/>
        <w:ind w:hanging="5"/>
        <w:rPr>
          <w:rFonts w:hAnsi="宋体" w:cs="Arial"/>
          <w:sz w:val="24"/>
          <w:szCs w:val="24"/>
        </w:rPr>
      </w:pPr>
      <w:r>
        <w:rPr>
          <w:rFonts w:hint="eastAsia" w:hAnsi="宋体" w:cs="Arial"/>
          <w:sz w:val="24"/>
          <w:szCs w:val="24"/>
        </w:rPr>
        <w:t>磋商供应商须知前附表；</w:t>
      </w:r>
    </w:p>
    <w:p w14:paraId="463F8BD2">
      <w:pPr>
        <w:pStyle w:val="17"/>
        <w:numPr>
          <w:ilvl w:val="0"/>
          <w:numId w:val="7"/>
        </w:numPr>
        <w:spacing w:line="360" w:lineRule="auto"/>
        <w:ind w:hanging="5"/>
        <w:rPr>
          <w:rFonts w:hAnsi="宋体" w:cs="Arial"/>
          <w:sz w:val="24"/>
          <w:szCs w:val="24"/>
        </w:rPr>
      </w:pPr>
      <w:r>
        <w:rPr>
          <w:rFonts w:hint="eastAsia" w:hAnsi="宋体" w:cs="Arial"/>
          <w:sz w:val="24"/>
          <w:szCs w:val="24"/>
        </w:rPr>
        <w:t>磋商供应商须知；</w:t>
      </w:r>
    </w:p>
    <w:p w14:paraId="633F1978">
      <w:pPr>
        <w:pStyle w:val="17"/>
        <w:numPr>
          <w:ilvl w:val="0"/>
          <w:numId w:val="7"/>
        </w:numPr>
        <w:spacing w:line="360" w:lineRule="auto"/>
        <w:ind w:hanging="5"/>
        <w:rPr>
          <w:rFonts w:hAnsi="宋体" w:cs="Arial"/>
          <w:sz w:val="24"/>
          <w:szCs w:val="24"/>
        </w:rPr>
      </w:pPr>
      <w:r>
        <w:rPr>
          <w:rFonts w:hint="eastAsia" w:hAnsi="宋体" w:cs="Arial"/>
          <w:sz w:val="24"/>
          <w:szCs w:val="24"/>
        </w:rPr>
        <w:t>青海省政府采购合同文本样式；</w:t>
      </w:r>
    </w:p>
    <w:p w14:paraId="4F64323E">
      <w:pPr>
        <w:pStyle w:val="17"/>
        <w:numPr>
          <w:ilvl w:val="0"/>
          <w:numId w:val="7"/>
        </w:numPr>
        <w:spacing w:line="360" w:lineRule="auto"/>
        <w:ind w:hanging="5"/>
        <w:rPr>
          <w:rFonts w:hAnsi="宋体" w:cs="Arial"/>
          <w:sz w:val="24"/>
          <w:szCs w:val="24"/>
        </w:rPr>
      </w:pPr>
      <w:r>
        <w:rPr>
          <w:rFonts w:hint="eastAsia" w:hAnsi="宋体" w:cs="Arial"/>
          <w:sz w:val="24"/>
          <w:szCs w:val="24"/>
        </w:rPr>
        <w:t>磋商响应文件格式；</w:t>
      </w:r>
    </w:p>
    <w:p w14:paraId="776DD2BB">
      <w:pPr>
        <w:pStyle w:val="17"/>
        <w:numPr>
          <w:ilvl w:val="0"/>
          <w:numId w:val="7"/>
        </w:numPr>
        <w:spacing w:line="360" w:lineRule="auto"/>
        <w:ind w:hanging="5"/>
        <w:rPr>
          <w:rFonts w:hAnsi="宋体" w:cs="Arial"/>
          <w:sz w:val="24"/>
          <w:szCs w:val="24"/>
        </w:rPr>
      </w:pPr>
      <w:r>
        <w:rPr>
          <w:rFonts w:hint="eastAsia" w:hAnsi="宋体" w:cs="Arial"/>
          <w:sz w:val="24"/>
          <w:szCs w:val="24"/>
        </w:rPr>
        <w:t>采购项目服务要求；</w:t>
      </w:r>
    </w:p>
    <w:p w14:paraId="5F18DEBD">
      <w:pPr>
        <w:pStyle w:val="17"/>
        <w:numPr>
          <w:ilvl w:val="0"/>
          <w:numId w:val="7"/>
        </w:numPr>
        <w:spacing w:line="360" w:lineRule="auto"/>
        <w:ind w:hanging="5"/>
        <w:rPr>
          <w:rFonts w:hAnsi="宋体" w:cs="Arial"/>
          <w:sz w:val="24"/>
          <w:szCs w:val="24"/>
        </w:rPr>
      </w:pPr>
      <w:r>
        <w:rPr>
          <w:rFonts w:hint="eastAsia" w:hAnsi="宋体" w:cs="Arial"/>
          <w:sz w:val="24"/>
          <w:szCs w:val="24"/>
        </w:rPr>
        <w:t>采购过程中发生的澄清、变更和补充文件；</w:t>
      </w:r>
    </w:p>
    <w:p w14:paraId="0E7593FF">
      <w:pPr>
        <w:pStyle w:val="17"/>
        <w:spacing w:line="360" w:lineRule="auto"/>
        <w:ind w:firstLine="420" w:firstLineChars="175"/>
        <w:rPr>
          <w:rFonts w:hAnsi="宋体"/>
          <w:sz w:val="24"/>
          <w:szCs w:val="28"/>
        </w:rPr>
      </w:pPr>
      <w:r>
        <w:rPr>
          <w:rFonts w:hint="eastAsia" w:hAnsi="宋体"/>
          <w:sz w:val="24"/>
          <w:szCs w:val="28"/>
        </w:rPr>
        <w:t>4.2磋商供应商应认真阅读磋商文件中列示的事项、格式、条款和要求等内容。如果磋商供应商未按磋商文件要求提交全部资料，或者对磋商文件未作出实质性响应的，根据相关法规要求，此类磋商将被拒绝（视为无效磋商）。</w:t>
      </w:r>
    </w:p>
    <w:p w14:paraId="42DE8D78">
      <w:pPr>
        <w:pStyle w:val="6"/>
        <w:spacing w:beforeLines="50" w:afterLines="50" w:line="360" w:lineRule="auto"/>
        <w:outlineLvl w:val="2"/>
        <w:rPr>
          <w:rFonts w:ascii="宋体" w:hAnsi="宋体" w:cs="宋体"/>
          <w:bCs w:val="0"/>
        </w:rPr>
      </w:pPr>
      <w:bookmarkStart w:id="150" w:name="_Toc488673618"/>
      <w:bookmarkStart w:id="151" w:name="_Toc917"/>
      <w:bookmarkStart w:id="152" w:name="_Toc10096"/>
      <w:bookmarkStart w:id="153" w:name="_Toc8390"/>
      <w:bookmarkStart w:id="154" w:name="_Toc7156"/>
      <w:bookmarkStart w:id="155" w:name="_Toc9771"/>
      <w:bookmarkStart w:id="156" w:name="_Toc5903"/>
      <w:r>
        <w:rPr>
          <w:rFonts w:hint="eastAsia" w:ascii="宋体" w:hAnsi="宋体" w:cs="宋体"/>
          <w:bCs w:val="0"/>
        </w:rPr>
        <w:t>5.磋商文件的质疑</w:t>
      </w:r>
      <w:bookmarkEnd w:id="150"/>
      <w:bookmarkEnd w:id="151"/>
      <w:bookmarkEnd w:id="152"/>
      <w:bookmarkEnd w:id="153"/>
      <w:bookmarkEnd w:id="154"/>
      <w:bookmarkEnd w:id="155"/>
      <w:bookmarkEnd w:id="156"/>
    </w:p>
    <w:p w14:paraId="00DCA991">
      <w:pPr>
        <w:autoSpaceDE w:val="0"/>
        <w:autoSpaceDN w:val="0"/>
        <w:snapToGrid w:val="0"/>
        <w:spacing w:beforeLines="50" w:afterLines="50" w:line="360" w:lineRule="auto"/>
        <w:ind w:right="193" w:firstLine="480" w:firstLineChars="200"/>
        <w:rPr>
          <w:rFonts w:ascii="宋体" w:hAnsi="宋体" w:cs="宋体"/>
          <w:sz w:val="24"/>
        </w:rPr>
      </w:pPr>
      <w:r>
        <w:rPr>
          <w:rFonts w:ascii="宋体" w:hAnsi="宋体" w:cs="宋体"/>
          <w:sz w:val="24"/>
        </w:rPr>
        <w:t>供应商对磋商文件有异议的，应当在获取磋商文件或者磋商文件公告期限届满之</w:t>
      </w:r>
      <w:r>
        <w:rPr>
          <w:rFonts w:ascii="宋体" w:hAnsi="宋体" w:cs="宋体"/>
          <w:spacing w:val="-1"/>
          <w:sz w:val="24"/>
        </w:rPr>
        <w:t>日</w:t>
      </w:r>
      <w:r>
        <w:rPr>
          <w:rFonts w:ascii="宋体" w:hAnsi="宋体" w:cs="宋体"/>
          <w:spacing w:val="29"/>
          <w:sz w:val="24"/>
        </w:rPr>
        <w:t>起</w:t>
      </w:r>
      <w:r>
        <w:rPr>
          <w:rFonts w:ascii="宋体" w:hAnsi="宋体" w:cs="宋体"/>
          <w:spacing w:val="59"/>
          <w:sz w:val="24"/>
        </w:rPr>
        <w:t>7</w:t>
      </w:r>
      <w:r>
        <w:rPr>
          <w:rFonts w:ascii="宋体" w:hAnsi="宋体" w:cs="宋体"/>
          <w:spacing w:val="-1"/>
          <w:sz w:val="24"/>
        </w:rPr>
        <w:t>个工作</w:t>
      </w:r>
      <w:r>
        <w:rPr>
          <w:rFonts w:ascii="宋体" w:hAnsi="宋体" w:cs="宋体"/>
          <w:sz w:val="24"/>
        </w:rPr>
        <w:t>日内以书面形式提出（不接受匿名质疑），采购代理机构在收到供应商</w:t>
      </w:r>
      <w:r>
        <w:rPr>
          <w:rFonts w:ascii="宋体" w:hAnsi="宋体" w:cs="宋体"/>
          <w:spacing w:val="-1"/>
          <w:sz w:val="24"/>
        </w:rPr>
        <w:t>的书面质疑</w:t>
      </w:r>
      <w:r>
        <w:rPr>
          <w:rFonts w:ascii="宋体" w:hAnsi="宋体" w:cs="宋体"/>
          <w:spacing w:val="29"/>
          <w:sz w:val="24"/>
        </w:rPr>
        <w:t>后</w:t>
      </w:r>
      <w:r>
        <w:rPr>
          <w:rFonts w:ascii="宋体" w:hAnsi="宋体" w:cs="宋体"/>
          <w:spacing w:val="60"/>
          <w:sz w:val="24"/>
        </w:rPr>
        <w:t>7</w:t>
      </w:r>
      <w:r>
        <w:rPr>
          <w:rFonts w:ascii="宋体" w:hAnsi="宋体" w:cs="宋体"/>
          <w:sz w:val="24"/>
        </w:rPr>
        <w:t>个工作日内作出答复，并将变更事宜在青海政府采购网上发布公告，告知本项目的所有潜在供应商。</w:t>
      </w:r>
    </w:p>
    <w:p w14:paraId="102A1A0B">
      <w:pPr>
        <w:pStyle w:val="6"/>
        <w:spacing w:beforeLines="50" w:afterLines="50" w:line="360" w:lineRule="auto"/>
        <w:outlineLvl w:val="2"/>
        <w:rPr>
          <w:rFonts w:ascii="宋体" w:hAnsi="宋体" w:cs="宋体"/>
          <w:bCs w:val="0"/>
        </w:rPr>
      </w:pPr>
      <w:bookmarkStart w:id="157" w:name="_Toc13800"/>
      <w:bookmarkStart w:id="158" w:name="_Toc11375"/>
      <w:bookmarkStart w:id="159" w:name="_Toc488673619"/>
      <w:bookmarkStart w:id="160" w:name="_Toc28437"/>
      <w:bookmarkStart w:id="161" w:name="_Toc2391"/>
      <w:bookmarkStart w:id="162" w:name="_Toc12785"/>
      <w:bookmarkStart w:id="163" w:name="_Toc11334"/>
      <w:r>
        <w:rPr>
          <w:rFonts w:hint="eastAsia" w:ascii="宋体" w:hAnsi="宋体" w:cs="宋体"/>
          <w:bCs w:val="0"/>
        </w:rPr>
        <w:t>6.磋商文件的澄清、修改</w:t>
      </w:r>
      <w:bookmarkEnd w:id="157"/>
      <w:bookmarkEnd w:id="158"/>
      <w:bookmarkEnd w:id="159"/>
      <w:bookmarkEnd w:id="160"/>
      <w:bookmarkEnd w:id="161"/>
      <w:bookmarkEnd w:id="162"/>
      <w:bookmarkEnd w:id="163"/>
    </w:p>
    <w:p w14:paraId="7781CF22">
      <w:pPr>
        <w:pStyle w:val="17"/>
        <w:spacing w:line="360" w:lineRule="auto"/>
        <w:ind w:firstLine="420" w:firstLineChars="175"/>
        <w:rPr>
          <w:rFonts w:hAnsi="宋体"/>
          <w:sz w:val="24"/>
          <w:szCs w:val="28"/>
        </w:rPr>
      </w:pPr>
      <w:r>
        <w:rPr>
          <w:rFonts w:hint="eastAsia" w:hAnsi="宋体"/>
          <w:sz w:val="24"/>
          <w:szCs w:val="28"/>
        </w:rPr>
        <w:t>6.1提交首次响应文件截止之日前，采购代理机构对已发出的磋商文件进行必要的澄清或者修改的，澄清或者修改的内容可能影响磋商响应文件编制的，在磋商文件要求提交磋商响应文件截止时间</w:t>
      </w:r>
      <w:r>
        <w:rPr>
          <w:rFonts w:hAnsi="宋体"/>
          <w:sz w:val="24"/>
          <w:szCs w:val="28"/>
        </w:rPr>
        <w:t>5</w:t>
      </w:r>
      <w:r>
        <w:rPr>
          <w:rFonts w:hint="eastAsia" w:hAnsi="宋体"/>
          <w:sz w:val="24"/>
          <w:szCs w:val="28"/>
        </w:rPr>
        <w:t>日前，以书面形式通知所有获取磋商文件的供应商。不足</w:t>
      </w:r>
      <w:r>
        <w:rPr>
          <w:rFonts w:hAnsi="宋体"/>
          <w:sz w:val="24"/>
          <w:szCs w:val="28"/>
        </w:rPr>
        <w:t>5</w:t>
      </w:r>
      <w:r>
        <w:rPr>
          <w:rFonts w:hint="eastAsia" w:hAnsi="宋体"/>
          <w:sz w:val="24"/>
          <w:szCs w:val="28"/>
        </w:rPr>
        <w:t>日的，采购人、采购代理机构应当顺延提交首次响应文件截止时间，该澄清或者修改的内容为磋商文件的组成部分；</w:t>
      </w:r>
    </w:p>
    <w:p w14:paraId="4A9486D3">
      <w:pPr>
        <w:widowControl/>
        <w:spacing w:line="360" w:lineRule="auto"/>
        <w:ind w:firstLine="420" w:firstLineChars="175"/>
        <w:jc w:val="left"/>
        <w:rPr>
          <w:rFonts w:ascii="宋体" w:hAnsi="宋体"/>
          <w:kern w:val="0"/>
          <w:sz w:val="24"/>
          <w:szCs w:val="28"/>
        </w:rPr>
      </w:pPr>
      <w:r>
        <w:rPr>
          <w:rFonts w:hint="eastAsia" w:ascii="宋体" w:hAnsi="宋体"/>
          <w:kern w:val="0"/>
          <w:sz w:val="24"/>
          <w:szCs w:val="28"/>
        </w:rPr>
        <w:t xml:space="preserve">6.2在提交首次响应文件截止时间前，采购代理机构可以视采购具体情况，延长提交响应文件截止时间和开启时间，并在磋商文件中要求的提交首次响应文件截止时间和开启时间的三日前，将变更公告发布在青海省政府采购网上。 </w:t>
      </w:r>
    </w:p>
    <w:p w14:paraId="2A451895">
      <w:pPr>
        <w:pStyle w:val="4"/>
        <w:numPr>
          <w:ilvl w:val="0"/>
          <w:numId w:val="6"/>
        </w:numPr>
        <w:spacing w:beforeLines="100" w:afterLines="100"/>
        <w:jc w:val="center"/>
        <w:outlineLvl w:val="1"/>
        <w:rPr>
          <w:rFonts w:hAnsi="宋体" w:cs="宋体"/>
          <w:b/>
          <w:sz w:val="32"/>
          <w:szCs w:val="32"/>
        </w:rPr>
      </w:pPr>
      <w:bookmarkStart w:id="164" w:name="_Toc17537"/>
      <w:bookmarkStart w:id="165" w:name="_Toc28879"/>
      <w:r>
        <w:rPr>
          <w:rFonts w:hint="eastAsia" w:hAnsi="宋体" w:cs="宋体"/>
          <w:b/>
          <w:sz w:val="32"/>
          <w:szCs w:val="32"/>
        </w:rPr>
        <w:t>磋商响应文件的编写</w:t>
      </w:r>
      <w:bookmarkEnd w:id="164"/>
      <w:bookmarkEnd w:id="165"/>
    </w:p>
    <w:p w14:paraId="15372E86">
      <w:pPr>
        <w:pStyle w:val="6"/>
        <w:spacing w:beforeLines="50" w:afterLines="50" w:line="360" w:lineRule="auto"/>
        <w:outlineLvl w:val="2"/>
        <w:rPr>
          <w:rFonts w:ascii="宋体" w:hAnsi="宋体" w:cs="宋体"/>
          <w:bCs w:val="0"/>
        </w:rPr>
      </w:pPr>
      <w:bookmarkStart w:id="166" w:name="_Toc20547"/>
      <w:bookmarkStart w:id="167" w:name="_Toc488673621"/>
      <w:bookmarkStart w:id="168" w:name="_Toc2944"/>
      <w:bookmarkStart w:id="169" w:name="_Toc4846"/>
      <w:bookmarkStart w:id="170" w:name="_Toc22517"/>
      <w:bookmarkStart w:id="171" w:name="_Toc3249"/>
      <w:bookmarkStart w:id="172" w:name="_Toc446"/>
      <w:r>
        <w:rPr>
          <w:rFonts w:hint="eastAsia" w:ascii="宋体" w:hAnsi="宋体" w:cs="宋体"/>
          <w:bCs w:val="0"/>
        </w:rPr>
        <w:t>7.响应文件的语言及度量衡单位</w:t>
      </w:r>
      <w:bookmarkEnd w:id="166"/>
      <w:bookmarkEnd w:id="167"/>
      <w:bookmarkEnd w:id="168"/>
      <w:bookmarkEnd w:id="169"/>
      <w:bookmarkEnd w:id="170"/>
      <w:bookmarkEnd w:id="171"/>
      <w:bookmarkEnd w:id="172"/>
    </w:p>
    <w:p w14:paraId="5AC04CB2">
      <w:pPr>
        <w:pStyle w:val="17"/>
        <w:spacing w:line="360" w:lineRule="auto"/>
        <w:ind w:firstLine="420" w:firstLineChars="175"/>
        <w:rPr>
          <w:rFonts w:hAnsi="宋体"/>
          <w:sz w:val="24"/>
          <w:szCs w:val="28"/>
        </w:rPr>
      </w:pPr>
      <w:r>
        <w:rPr>
          <w:rFonts w:hint="eastAsia" w:hAnsi="宋体"/>
          <w:sz w:val="24"/>
          <w:szCs w:val="28"/>
        </w:rPr>
        <w:t>7.1磋商供应商提交的磋商响应文件以及磋商供应商与采购代理机构就此磋商发生的所有来往函电均应使用简体中文；</w:t>
      </w:r>
    </w:p>
    <w:p w14:paraId="74737D56">
      <w:pPr>
        <w:pStyle w:val="17"/>
        <w:spacing w:line="360" w:lineRule="auto"/>
        <w:ind w:firstLine="420" w:firstLineChars="175"/>
        <w:rPr>
          <w:rFonts w:hAnsi="宋体"/>
          <w:sz w:val="24"/>
          <w:szCs w:val="28"/>
        </w:rPr>
      </w:pPr>
      <w:r>
        <w:rPr>
          <w:rFonts w:hint="eastAsia" w:hAnsi="宋体"/>
          <w:sz w:val="24"/>
          <w:szCs w:val="28"/>
        </w:rPr>
        <w:t>7.2除磋商文件中另有规定外，磋商文件所使用的度量衡单位，均须采用国家法定计量单位；</w:t>
      </w:r>
    </w:p>
    <w:p w14:paraId="01CD4654">
      <w:pPr>
        <w:pStyle w:val="17"/>
        <w:spacing w:line="360" w:lineRule="auto"/>
        <w:ind w:firstLine="420" w:firstLineChars="175"/>
        <w:rPr>
          <w:rFonts w:hAnsi="宋体"/>
          <w:sz w:val="24"/>
          <w:szCs w:val="28"/>
        </w:rPr>
      </w:pPr>
      <w:r>
        <w:rPr>
          <w:rFonts w:hint="eastAsia" w:hAnsi="宋体"/>
          <w:sz w:val="24"/>
          <w:szCs w:val="28"/>
        </w:rPr>
        <w:t>7.3附有外文资料的须翻译成中文，并加盖磋商供应商公章，如果翻译的中文资料与外文资料出现差异与矛盾时，以中文为准，其准确性由磋商供应商负责。</w:t>
      </w:r>
    </w:p>
    <w:p w14:paraId="34630ED8">
      <w:pPr>
        <w:pStyle w:val="6"/>
        <w:spacing w:beforeLines="50" w:afterLines="50" w:line="360" w:lineRule="auto"/>
        <w:outlineLvl w:val="2"/>
        <w:rPr>
          <w:rFonts w:ascii="宋体" w:hAnsi="宋体" w:cs="宋体"/>
          <w:bCs w:val="0"/>
        </w:rPr>
      </w:pPr>
      <w:bookmarkStart w:id="173" w:name="_Toc27719"/>
      <w:bookmarkStart w:id="174" w:name="_Toc31421"/>
      <w:bookmarkStart w:id="175" w:name="_Toc27787"/>
      <w:bookmarkStart w:id="176" w:name="_Toc488673622"/>
      <w:bookmarkStart w:id="177" w:name="_Toc6646"/>
      <w:bookmarkStart w:id="178" w:name="_Toc25160"/>
      <w:bookmarkStart w:id="179" w:name="_Toc7648"/>
      <w:r>
        <w:rPr>
          <w:rFonts w:hint="eastAsia" w:ascii="宋体" w:hAnsi="宋体" w:cs="宋体"/>
          <w:bCs w:val="0"/>
        </w:rPr>
        <w:t>8.磋商报价及币种</w:t>
      </w:r>
      <w:bookmarkEnd w:id="173"/>
      <w:bookmarkEnd w:id="174"/>
      <w:bookmarkEnd w:id="175"/>
      <w:bookmarkEnd w:id="176"/>
      <w:bookmarkEnd w:id="177"/>
      <w:bookmarkEnd w:id="178"/>
      <w:bookmarkEnd w:id="179"/>
    </w:p>
    <w:p w14:paraId="498F88B7">
      <w:pPr>
        <w:pStyle w:val="17"/>
        <w:spacing w:line="360" w:lineRule="auto"/>
        <w:ind w:firstLine="420" w:firstLineChars="175"/>
        <w:rPr>
          <w:rFonts w:hAnsi="宋体"/>
          <w:color w:val="000000" w:themeColor="text1"/>
          <w:sz w:val="24"/>
          <w:szCs w:val="28"/>
          <w14:textFill>
            <w14:solidFill>
              <w14:schemeClr w14:val="tx1"/>
            </w14:solidFill>
          </w14:textFill>
        </w:rPr>
      </w:pPr>
      <w:r>
        <w:rPr>
          <w:rFonts w:hint="eastAsia" w:hAnsi="宋体"/>
          <w:sz w:val="24"/>
          <w:szCs w:val="28"/>
        </w:rPr>
        <w:t>8.1磋商报价为总报价。必须包括</w:t>
      </w:r>
      <w:r>
        <w:rPr>
          <w:rFonts w:hint="eastAsia" w:hAnsi="宋体"/>
          <w:color w:val="000000" w:themeColor="text1"/>
          <w:sz w:val="24"/>
          <w:szCs w:val="28"/>
          <w14:textFill>
            <w14:solidFill>
              <w14:schemeClr w14:val="tx1"/>
            </w14:solidFill>
          </w14:textFill>
        </w:rPr>
        <w:t>：</w:t>
      </w:r>
      <w:r>
        <w:rPr>
          <w:rFonts w:hint="eastAsia" w:hAnsi="宋体"/>
          <w:color w:val="000000" w:themeColor="text1"/>
          <w:sz w:val="24"/>
          <w:szCs w:val="28"/>
          <w:lang w:eastAsia="zh-CN"/>
          <w14:textFill>
            <w14:solidFill>
              <w14:schemeClr w14:val="tx1"/>
            </w14:solidFill>
          </w14:textFill>
        </w:rPr>
        <w:t>服务费、管理费、人员费、保险费、税金及其他不可预见费等全部费用</w:t>
      </w:r>
      <w:r>
        <w:rPr>
          <w:rFonts w:hint="eastAsia" w:hAnsi="宋体"/>
          <w:color w:val="000000" w:themeColor="text1"/>
          <w:sz w:val="24"/>
          <w:szCs w:val="28"/>
          <w14:textFill>
            <w14:solidFill>
              <w14:schemeClr w14:val="tx1"/>
            </w14:solidFill>
          </w14:textFill>
        </w:rPr>
        <w:t>。最后报价不得出现两个或两个以上的报价方案。</w:t>
      </w:r>
    </w:p>
    <w:p w14:paraId="5942EDB2">
      <w:pPr>
        <w:pStyle w:val="17"/>
        <w:spacing w:line="360" w:lineRule="auto"/>
        <w:ind w:firstLine="420" w:firstLineChars="175"/>
        <w:rPr>
          <w:rFonts w:hAnsi="宋体"/>
          <w:sz w:val="24"/>
          <w:szCs w:val="28"/>
        </w:rPr>
      </w:pPr>
      <w:r>
        <w:rPr>
          <w:rFonts w:hint="eastAsia" w:hAnsi="宋体"/>
          <w:sz w:val="24"/>
          <w:szCs w:val="28"/>
        </w:rPr>
        <w:t>8.2磋商报价应注明有效期，有效期应与磋商有效期一致；</w:t>
      </w:r>
    </w:p>
    <w:p w14:paraId="2296D926">
      <w:pPr>
        <w:pStyle w:val="17"/>
        <w:spacing w:line="360" w:lineRule="auto"/>
        <w:ind w:firstLine="420" w:firstLineChars="175"/>
        <w:rPr>
          <w:rFonts w:hAnsi="宋体"/>
          <w:sz w:val="24"/>
          <w:szCs w:val="28"/>
        </w:rPr>
      </w:pPr>
      <w:r>
        <w:rPr>
          <w:rFonts w:hint="eastAsia" w:hAnsi="宋体"/>
          <w:sz w:val="24"/>
          <w:szCs w:val="28"/>
        </w:rPr>
        <w:t>8.3磋商报价为闭口价，即中标后在合同有效期内价格不变；</w:t>
      </w:r>
    </w:p>
    <w:p w14:paraId="4E67B8E4">
      <w:pPr>
        <w:pStyle w:val="17"/>
        <w:spacing w:line="360" w:lineRule="auto"/>
        <w:ind w:firstLine="420" w:firstLineChars="175"/>
        <w:rPr>
          <w:rFonts w:hAnsi="宋体"/>
          <w:sz w:val="24"/>
          <w:szCs w:val="28"/>
        </w:rPr>
      </w:pPr>
      <w:r>
        <w:rPr>
          <w:rFonts w:hint="eastAsia" w:hAnsi="宋体"/>
          <w:sz w:val="24"/>
          <w:szCs w:val="28"/>
        </w:rPr>
        <w:t>8.4磋商币种为人民币。</w:t>
      </w:r>
    </w:p>
    <w:p w14:paraId="0CC182F3">
      <w:pPr>
        <w:pStyle w:val="6"/>
        <w:spacing w:beforeLines="50" w:afterLines="50" w:line="360" w:lineRule="auto"/>
        <w:outlineLvl w:val="2"/>
        <w:rPr>
          <w:rFonts w:ascii="宋体" w:hAnsi="宋体" w:cs="宋体"/>
          <w:bCs w:val="0"/>
        </w:rPr>
      </w:pPr>
      <w:bookmarkStart w:id="180" w:name="_Toc488673623"/>
      <w:bookmarkStart w:id="181" w:name="_Toc22776"/>
      <w:bookmarkStart w:id="182" w:name="_Toc731"/>
      <w:bookmarkStart w:id="183" w:name="_Toc16576"/>
      <w:bookmarkStart w:id="184" w:name="_Toc15463"/>
      <w:bookmarkStart w:id="185" w:name="_Toc1326"/>
      <w:bookmarkStart w:id="186" w:name="_Toc15187"/>
      <w:r>
        <w:rPr>
          <w:rFonts w:hint="eastAsia" w:ascii="宋体" w:hAnsi="宋体" w:cs="宋体"/>
          <w:bCs w:val="0"/>
        </w:rPr>
        <w:t>9.磋商保证金</w:t>
      </w:r>
      <w:bookmarkEnd w:id="180"/>
      <w:bookmarkEnd w:id="181"/>
      <w:bookmarkEnd w:id="182"/>
      <w:bookmarkEnd w:id="183"/>
      <w:bookmarkEnd w:id="184"/>
      <w:bookmarkEnd w:id="185"/>
      <w:bookmarkEnd w:id="186"/>
    </w:p>
    <w:p w14:paraId="628B1349">
      <w:pPr>
        <w:pStyle w:val="17"/>
        <w:spacing w:line="360" w:lineRule="auto"/>
        <w:ind w:left="141" w:firstLine="240" w:firstLineChars="100"/>
        <w:rPr>
          <w:rFonts w:hAnsi="宋体"/>
          <w:sz w:val="24"/>
          <w:szCs w:val="28"/>
        </w:rPr>
      </w:pPr>
      <w:r>
        <w:rPr>
          <w:rFonts w:hint="eastAsia" w:hAnsi="宋体"/>
          <w:sz w:val="24"/>
          <w:szCs w:val="28"/>
        </w:rPr>
        <w:t xml:space="preserve">9.1供应商须在提交首次响应文件前按以下要求交纳磋商保证金： </w:t>
      </w:r>
    </w:p>
    <w:p w14:paraId="26ECBAFE">
      <w:pPr>
        <w:pStyle w:val="17"/>
        <w:spacing w:line="360" w:lineRule="auto"/>
        <w:ind w:firstLine="422" w:firstLineChars="175"/>
        <w:rPr>
          <w:rFonts w:hAnsi="宋体"/>
          <w:b/>
          <w:bCs/>
          <w:sz w:val="24"/>
          <w:szCs w:val="28"/>
        </w:rPr>
      </w:pPr>
      <w:bookmarkStart w:id="187" w:name="_Toc488673624"/>
      <w:r>
        <w:rPr>
          <w:rFonts w:hint="eastAsia" w:hAnsi="宋体"/>
          <w:b/>
          <w:bCs/>
          <w:sz w:val="24"/>
          <w:szCs w:val="28"/>
        </w:rPr>
        <w:t>磋商保证金：</w:t>
      </w:r>
      <w:r>
        <w:rPr>
          <w:rFonts w:hint="eastAsia" w:hAnsi="宋体"/>
          <w:b/>
          <w:bCs/>
          <w:sz w:val="24"/>
          <w:szCs w:val="28"/>
          <w:lang w:val="en-US" w:eastAsia="zh-CN"/>
        </w:rPr>
        <w:t>19000</w:t>
      </w:r>
      <w:r>
        <w:rPr>
          <w:rFonts w:hint="eastAsia" w:hAnsi="宋体"/>
          <w:b/>
          <w:bCs/>
          <w:sz w:val="24"/>
          <w:szCs w:val="28"/>
        </w:rPr>
        <w:t>元整（大写：</w:t>
      </w:r>
      <w:r>
        <w:rPr>
          <w:rFonts w:hint="eastAsia" w:hAnsi="宋体"/>
          <w:b/>
          <w:bCs/>
          <w:sz w:val="24"/>
          <w:szCs w:val="28"/>
          <w:lang w:val="en-US" w:eastAsia="zh-CN"/>
        </w:rPr>
        <w:t>壹万玖仟元整</w:t>
      </w:r>
      <w:r>
        <w:rPr>
          <w:rFonts w:hint="eastAsia" w:hAnsi="宋体"/>
          <w:b/>
          <w:bCs/>
          <w:sz w:val="24"/>
          <w:szCs w:val="28"/>
        </w:rPr>
        <w:t>）</w:t>
      </w:r>
    </w:p>
    <w:p w14:paraId="5B461DAF">
      <w:pPr>
        <w:pStyle w:val="17"/>
        <w:spacing w:line="360" w:lineRule="auto"/>
        <w:ind w:firstLine="422" w:firstLineChars="175"/>
        <w:rPr>
          <w:rFonts w:hint="eastAsia" w:ascii="宋体" w:hAnsi="宋体" w:eastAsia="宋体" w:cs="宋体"/>
          <w:b/>
          <w:bCs/>
          <w:color w:val="000000"/>
          <w:kern w:val="0"/>
          <w:sz w:val="24"/>
          <w:szCs w:val="24"/>
          <w:lang w:val="zh-CN" w:eastAsia="zh-CN" w:bidi="ar-SA"/>
        </w:rPr>
      </w:pPr>
      <w:r>
        <w:rPr>
          <w:rFonts w:hint="eastAsia" w:ascii="宋体" w:hAnsi="宋体" w:eastAsia="宋体" w:cs="宋体"/>
          <w:b/>
          <w:bCs/>
          <w:color w:val="000000"/>
          <w:kern w:val="0"/>
          <w:sz w:val="24"/>
          <w:szCs w:val="24"/>
          <w:lang w:val="zh-CN" w:eastAsia="zh-CN" w:bidi="ar-SA"/>
        </w:rPr>
        <w:t>收款单位：青海国德招标代理有限公司</w:t>
      </w:r>
    </w:p>
    <w:p w14:paraId="6EDC6250">
      <w:pPr>
        <w:pStyle w:val="17"/>
        <w:spacing w:line="360" w:lineRule="auto"/>
        <w:ind w:firstLine="422" w:firstLineChars="175"/>
        <w:rPr>
          <w:rFonts w:hint="eastAsia" w:ascii="宋体" w:hAnsi="宋体" w:eastAsia="宋体" w:cs="宋体"/>
          <w:b/>
          <w:bCs/>
          <w:color w:val="000000"/>
          <w:kern w:val="0"/>
          <w:sz w:val="24"/>
          <w:szCs w:val="24"/>
          <w:lang w:val="zh-CN" w:eastAsia="zh-CN" w:bidi="ar-SA"/>
        </w:rPr>
      </w:pPr>
      <w:r>
        <w:rPr>
          <w:rFonts w:hint="eastAsia" w:ascii="宋体" w:hAnsi="宋体" w:eastAsia="宋体" w:cs="宋体"/>
          <w:b/>
          <w:bCs/>
          <w:color w:val="000000"/>
          <w:kern w:val="0"/>
          <w:sz w:val="24"/>
          <w:szCs w:val="24"/>
          <w:lang w:val="en-US" w:eastAsia="zh-CN" w:bidi="ar-SA"/>
        </w:rPr>
        <w:t xml:space="preserve">开户行：中国工商银行西宁交通巷支行  </w:t>
      </w:r>
    </w:p>
    <w:p w14:paraId="2BA20534">
      <w:pPr>
        <w:pStyle w:val="17"/>
        <w:spacing w:line="360" w:lineRule="auto"/>
        <w:ind w:firstLine="422" w:firstLineChars="175"/>
        <w:rPr>
          <w:rFonts w:hint="default"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szCs w:val="24"/>
          <w:lang w:val="en-US" w:eastAsia="zh-CN" w:bidi="ar-SA"/>
        </w:rPr>
        <w:t>银行账号：</w:t>
      </w:r>
      <w:r>
        <w:rPr>
          <w:rFonts w:hint="default" w:ascii="宋体" w:hAnsi="宋体" w:eastAsia="宋体" w:cs="宋体"/>
          <w:b/>
          <w:bCs/>
          <w:color w:val="000000"/>
          <w:kern w:val="0"/>
          <w:sz w:val="24"/>
          <w:szCs w:val="24"/>
          <w:lang w:val="en-US" w:eastAsia="zh-CN" w:bidi="ar-SA"/>
        </w:rPr>
        <w:t>2806007819000041679</w:t>
      </w:r>
    </w:p>
    <w:p w14:paraId="731B75CF">
      <w:pPr>
        <w:pStyle w:val="17"/>
        <w:spacing w:line="360" w:lineRule="auto"/>
        <w:ind w:firstLine="420" w:firstLineChars="175"/>
        <w:rPr>
          <w:rFonts w:hint="eastAsia" w:hAnsi="宋体"/>
          <w:b w:val="0"/>
          <w:bCs w:val="0"/>
          <w:sz w:val="24"/>
          <w:szCs w:val="28"/>
        </w:rPr>
      </w:pPr>
      <w:r>
        <w:rPr>
          <w:rFonts w:hint="eastAsia" w:hAnsi="宋体"/>
          <w:b w:val="0"/>
          <w:bCs w:val="0"/>
          <w:sz w:val="24"/>
          <w:szCs w:val="28"/>
        </w:rPr>
        <w:t>缴费时间：同响应文件递交截止时间（以银行到账时间为准），如采购项目变更磋商时间，则保证金</w:t>
      </w:r>
      <w:r>
        <w:rPr>
          <w:rFonts w:hint="eastAsia" w:hAnsi="宋体"/>
          <w:b w:val="0"/>
          <w:bCs w:val="0"/>
          <w:sz w:val="24"/>
          <w:szCs w:val="28"/>
          <w:lang w:eastAsia="zh-CN"/>
        </w:rPr>
        <w:t>缴纳</w:t>
      </w:r>
      <w:r>
        <w:rPr>
          <w:rFonts w:hint="eastAsia" w:hAnsi="宋体"/>
          <w:b w:val="0"/>
          <w:bCs w:val="0"/>
          <w:sz w:val="24"/>
          <w:szCs w:val="28"/>
        </w:rPr>
        <w:t>时间相应顺延。</w:t>
      </w:r>
    </w:p>
    <w:p w14:paraId="0CA781A0">
      <w:pPr>
        <w:pStyle w:val="17"/>
        <w:spacing w:line="360" w:lineRule="auto"/>
        <w:ind w:firstLine="420" w:firstLineChars="175"/>
        <w:rPr>
          <w:rFonts w:hint="eastAsia" w:hAnsi="宋体"/>
          <w:b w:val="0"/>
          <w:bCs w:val="0"/>
          <w:sz w:val="24"/>
          <w:szCs w:val="28"/>
        </w:rPr>
      </w:pPr>
      <w:r>
        <w:rPr>
          <w:rFonts w:hint="eastAsia" w:hAnsi="宋体"/>
          <w:b w:val="0"/>
          <w:bCs w:val="0"/>
          <w:sz w:val="24"/>
          <w:szCs w:val="28"/>
        </w:rPr>
        <w:t xml:space="preserve">因银行结算、不可抗力等非采购人和采购代理机构原因造成的保证金不能及时到账，后果由供应商自行承担。 </w:t>
      </w:r>
    </w:p>
    <w:p w14:paraId="3E5EEDEF">
      <w:pPr>
        <w:pStyle w:val="17"/>
        <w:spacing w:line="360" w:lineRule="auto"/>
        <w:ind w:firstLine="420" w:firstLineChars="175"/>
        <w:rPr>
          <w:rFonts w:hint="eastAsia" w:hAnsi="宋体"/>
          <w:b w:val="0"/>
          <w:bCs w:val="0"/>
          <w:sz w:val="24"/>
          <w:szCs w:val="28"/>
        </w:rPr>
      </w:pPr>
      <w:r>
        <w:rPr>
          <w:rFonts w:hint="eastAsia" w:hAnsi="宋体"/>
          <w:b w:val="0"/>
          <w:bCs w:val="0"/>
          <w:sz w:val="24"/>
          <w:szCs w:val="28"/>
        </w:rPr>
        <w:t>9.2磋商保证金应当以电汇、支票、汇票、本票或者金融机构、担保机构出具的保函等非现金形式提交，通过银行转账的，必须从磋商供应商基本账户直接汇（转）入采购代理机构指定账户；供应商未按照磋商文件要求提交磋商保证金的，磋商无效。</w:t>
      </w:r>
    </w:p>
    <w:p w14:paraId="7AF5FB03">
      <w:pPr>
        <w:pStyle w:val="17"/>
        <w:spacing w:line="360" w:lineRule="auto"/>
        <w:ind w:firstLine="420" w:firstLineChars="175"/>
        <w:rPr>
          <w:rFonts w:hint="eastAsia" w:hAnsi="宋体"/>
          <w:b w:val="0"/>
          <w:bCs w:val="0"/>
          <w:sz w:val="24"/>
          <w:szCs w:val="28"/>
        </w:rPr>
      </w:pPr>
      <w:r>
        <w:rPr>
          <w:rFonts w:hint="eastAsia" w:hAnsi="宋体"/>
          <w:b w:val="0"/>
          <w:bCs w:val="0"/>
          <w:sz w:val="24"/>
          <w:szCs w:val="28"/>
        </w:rPr>
        <w:t>9.3未成交供应商的磋商保证金自成交通知书发出之日起5个工作日内全额无息退还（不退现金）；成交供应商的磋商保证金，自政府采购合同签订之日起5个工作日内全额无息退还（不退现金）；</w:t>
      </w:r>
    </w:p>
    <w:p w14:paraId="5607CDC7">
      <w:pPr>
        <w:pStyle w:val="17"/>
        <w:spacing w:line="360" w:lineRule="auto"/>
        <w:ind w:firstLine="420" w:firstLineChars="175"/>
        <w:rPr>
          <w:rFonts w:hint="eastAsia" w:hAnsi="宋体"/>
          <w:b w:val="0"/>
          <w:bCs w:val="0"/>
          <w:sz w:val="24"/>
          <w:szCs w:val="28"/>
        </w:rPr>
      </w:pPr>
      <w:r>
        <w:rPr>
          <w:rFonts w:hint="eastAsia" w:hAnsi="宋体"/>
          <w:b w:val="0"/>
          <w:bCs w:val="0"/>
          <w:sz w:val="24"/>
          <w:szCs w:val="28"/>
        </w:rPr>
        <w:t>9.4下列任何情况发生时，磋商保证金将不予退还：</w:t>
      </w:r>
    </w:p>
    <w:p w14:paraId="407D83C7">
      <w:pPr>
        <w:pStyle w:val="17"/>
        <w:spacing w:line="360" w:lineRule="auto"/>
        <w:ind w:firstLine="420" w:firstLineChars="175"/>
        <w:rPr>
          <w:rFonts w:hint="eastAsia" w:hAnsi="宋体"/>
          <w:b w:val="0"/>
          <w:bCs w:val="0"/>
          <w:sz w:val="24"/>
          <w:szCs w:val="28"/>
        </w:rPr>
      </w:pPr>
      <w:r>
        <w:rPr>
          <w:rFonts w:hint="eastAsia" w:hAnsi="宋体"/>
          <w:b w:val="0"/>
          <w:bCs w:val="0"/>
          <w:sz w:val="24"/>
          <w:szCs w:val="28"/>
        </w:rPr>
        <w:t xml:space="preserve">（1）供应商在提交响应文件截止时间后撤回响应文件的； </w:t>
      </w:r>
    </w:p>
    <w:p w14:paraId="56219BF2">
      <w:pPr>
        <w:pStyle w:val="17"/>
        <w:spacing w:line="360" w:lineRule="auto"/>
        <w:ind w:firstLine="420" w:firstLineChars="175"/>
        <w:rPr>
          <w:rFonts w:hint="eastAsia" w:hAnsi="宋体"/>
          <w:b w:val="0"/>
          <w:bCs w:val="0"/>
          <w:sz w:val="24"/>
          <w:szCs w:val="28"/>
        </w:rPr>
      </w:pPr>
      <w:r>
        <w:rPr>
          <w:rFonts w:hint="eastAsia" w:hAnsi="宋体"/>
          <w:b w:val="0"/>
          <w:bCs w:val="0"/>
          <w:sz w:val="24"/>
          <w:szCs w:val="28"/>
        </w:rPr>
        <w:t xml:space="preserve">（2）供应商在响应文件中提供虚假材料的； </w:t>
      </w:r>
    </w:p>
    <w:p w14:paraId="0C4E547A">
      <w:pPr>
        <w:pStyle w:val="17"/>
        <w:spacing w:line="360" w:lineRule="auto"/>
        <w:ind w:firstLine="420" w:firstLineChars="175"/>
        <w:rPr>
          <w:rFonts w:hint="eastAsia" w:hAnsi="宋体"/>
          <w:b w:val="0"/>
          <w:bCs w:val="0"/>
          <w:sz w:val="24"/>
          <w:szCs w:val="28"/>
        </w:rPr>
      </w:pPr>
      <w:r>
        <w:rPr>
          <w:rFonts w:hint="eastAsia" w:hAnsi="宋体"/>
          <w:b w:val="0"/>
          <w:bCs w:val="0"/>
          <w:sz w:val="24"/>
          <w:szCs w:val="28"/>
        </w:rPr>
        <w:t xml:space="preserve">（3）除因不可抗力或磋商文件认可的情形以外，成交供应商不与采购人签订合同的； </w:t>
      </w:r>
    </w:p>
    <w:p w14:paraId="329F1819">
      <w:pPr>
        <w:pStyle w:val="17"/>
        <w:spacing w:line="360" w:lineRule="auto"/>
        <w:ind w:firstLine="420" w:firstLineChars="175"/>
        <w:rPr>
          <w:rFonts w:hint="eastAsia" w:hAnsi="宋体"/>
          <w:b w:val="0"/>
          <w:bCs w:val="0"/>
          <w:sz w:val="24"/>
          <w:szCs w:val="28"/>
        </w:rPr>
      </w:pPr>
      <w:r>
        <w:rPr>
          <w:rFonts w:hint="eastAsia" w:hAnsi="宋体"/>
          <w:b w:val="0"/>
          <w:bCs w:val="0"/>
          <w:sz w:val="24"/>
          <w:szCs w:val="28"/>
        </w:rPr>
        <w:t xml:space="preserve">（4）供应商与采购人、其他供应商或者采购代理机构恶意串通的； </w:t>
      </w:r>
    </w:p>
    <w:p w14:paraId="61C0CAEF">
      <w:pPr>
        <w:pStyle w:val="17"/>
        <w:spacing w:line="360" w:lineRule="auto"/>
        <w:ind w:firstLine="420" w:firstLineChars="175"/>
        <w:rPr>
          <w:rFonts w:hint="eastAsia" w:hAnsi="宋体"/>
          <w:b/>
          <w:bCs/>
          <w:sz w:val="24"/>
          <w:szCs w:val="28"/>
        </w:rPr>
      </w:pPr>
      <w:r>
        <w:rPr>
          <w:rFonts w:hint="eastAsia" w:hAnsi="宋体"/>
          <w:b w:val="0"/>
          <w:bCs w:val="0"/>
          <w:sz w:val="24"/>
          <w:szCs w:val="28"/>
        </w:rPr>
        <w:t>（5）磋商文件规定的其他情形。</w:t>
      </w:r>
      <w:r>
        <w:rPr>
          <w:rFonts w:hint="eastAsia" w:hAnsi="宋体"/>
          <w:b/>
          <w:bCs/>
          <w:sz w:val="24"/>
          <w:szCs w:val="28"/>
        </w:rPr>
        <w:t xml:space="preserve"> </w:t>
      </w:r>
    </w:p>
    <w:p w14:paraId="76653599">
      <w:pPr>
        <w:pStyle w:val="6"/>
        <w:spacing w:beforeLines="50" w:afterLines="50" w:line="360" w:lineRule="auto"/>
        <w:outlineLvl w:val="2"/>
        <w:rPr>
          <w:rFonts w:ascii="宋体" w:hAnsi="宋体" w:cs="宋体"/>
          <w:bCs w:val="0"/>
        </w:rPr>
      </w:pPr>
      <w:bookmarkStart w:id="188" w:name="_Toc11926"/>
      <w:bookmarkStart w:id="189" w:name="_Toc8971"/>
      <w:bookmarkStart w:id="190" w:name="_Toc31915"/>
      <w:bookmarkStart w:id="191" w:name="_Toc6165"/>
      <w:bookmarkStart w:id="192" w:name="_Toc7559"/>
      <w:bookmarkStart w:id="193" w:name="_Toc29189"/>
      <w:r>
        <w:rPr>
          <w:rFonts w:hint="eastAsia" w:ascii="宋体" w:hAnsi="宋体" w:cs="宋体"/>
          <w:bCs w:val="0"/>
        </w:rPr>
        <w:t>10.磋商有效期</w:t>
      </w:r>
      <w:bookmarkEnd w:id="187"/>
      <w:bookmarkEnd w:id="188"/>
      <w:bookmarkEnd w:id="189"/>
      <w:bookmarkEnd w:id="190"/>
      <w:bookmarkEnd w:id="191"/>
      <w:bookmarkEnd w:id="192"/>
      <w:bookmarkEnd w:id="193"/>
    </w:p>
    <w:p w14:paraId="71D444D5">
      <w:pPr>
        <w:pStyle w:val="17"/>
        <w:spacing w:line="360" w:lineRule="auto"/>
        <w:ind w:firstLine="480" w:firstLineChars="200"/>
        <w:rPr>
          <w:rFonts w:hAnsi="宋体"/>
          <w:b/>
          <w:sz w:val="24"/>
          <w:szCs w:val="28"/>
        </w:rPr>
      </w:pPr>
      <w:r>
        <w:rPr>
          <w:rFonts w:hAnsi="宋体" w:cs="Arial"/>
          <w:sz w:val="24"/>
          <w:szCs w:val="24"/>
        </w:rPr>
        <w:t>本次磋商有效期为自</w:t>
      </w:r>
      <w:r>
        <w:rPr>
          <w:rFonts w:hint="eastAsia" w:hAnsi="宋体" w:cs="Arial"/>
          <w:sz w:val="24"/>
          <w:szCs w:val="24"/>
        </w:rPr>
        <w:t>提交响应文件截止之日</w:t>
      </w:r>
      <w:r>
        <w:rPr>
          <w:rFonts w:hAnsi="宋体" w:cs="Arial"/>
          <w:sz w:val="24"/>
          <w:szCs w:val="24"/>
        </w:rPr>
        <w:t>起</w:t>
      </w:r>
      <w:r>
        <w:rPr>
          <w:rFonts w:hint="eastAsia" w:hAnsi="宋体" w:cs="Arial"/>
          <w:sz w:val="24"/>
          <w:szCs w:val="24"/>
          <w:lang w:eastAsia="zh-CN"/>
        </w:rPr>
        <w:t>60日历日</w:t>
      </w:r>
      <w:r>
        <w:rPr>
          <w:rFonts w:hint="eastAsia" w:hAnsi="宋体" w:cs="Arial"/>
          <w:sz w:val="24"/>
          <w:szCs w:val="24"/>
        </w:rPr>
        <w:t>。</w:t>
      </w:r>
    </w:p>
    <w:p w14:paraId="2961AC65">
      <w:pPr>
        <w:pStyle w:val="6"/>
        <w:spacing w:beforeLines="50" w:afterLines="50" w:line="360" w:lineRule="auto"/>
        <w:outlineLvl w:val="2"/>
        <w:rPr>
          <w:rFonts w:ascii="宋体" w:hAnsi="宋体" w:cs="宋体"/>
          <w:bCs w:val="0"/>
        </w:rPr>
      </w:pPr>
      <w:bookmarkStart w:id="194" w:name="_Toc11145"/>
      <w:bookmarkStart w:id="195" w:name="_Toc15589"/>
      <w:bookmarkStart w:id="196" w:name="_Toc1214"/>
      <w:bookmarkStart w:id="197" w:name="_Toc16759"/>
      <w:bookmarkStart w:id="198" w:name="_Toc19197"/>
      <w:bookmarkStart w:id="199" w:name="_Toc1418"/>
      <w:bookmarkStart w:id="200" w:name="_Toc488673625"/>
      <w:r>
        <w:rPr>
          <w:rFonts w:hint="eastAsia" w:ascii="宋体" w:hAnsi="宋体" w:cs="宋体"/>
          <w:bCs w:val="0"/>
        </w:rPr>
        <w:t>11.磋商响应文件的构成</w:t>
      </w:r>
      <w:bookmarkEnd w:id="194"/>
      <w:bookmarkEnd w:id="195"/>
      <w:bookmarkEnd w:id="196"/>
      <w:bookmarkEnd w:id="197"/>
      <w:bookmarkEnd w:id="198"/>
      <w:bookmarkEnd w:id="199"/>
      <w:bookmarkEnd w:id="200"/>
    </w:p>
    <w:p w14:paraId="686674CC">
      <w:pPr>
        <w:pStyle w:val="17"/>
        <w:spacing w:line="360" w:lineRule="auto"/>
        <w:ind w:firstLine="420" w:firstLineChars="175"/>
        <w:rPr>
          <w:rFonts w:hAnsi="宋体"/>
          <w:sz w:val="24"/>
          <w:szCs w:val="28"/>
        </w:rPr>
      </w:pPr>
      <w:r>
        <w:rPr>
          <w:rFonts w:hint="eastAsia" w:hAnsi="宋体"/>
          <w:sz w:val="24"/>
          <w:szCs w:val="28"/>
        </w:rPr>
        <w:t>11.1供应商应提交相关证明材料，作为其参加磋商和成交后有能力履行合同的证明。编写的响应文件须包括以下内容（格式详见磋商文件第四部分内容）：</w:t>
      </w:r>
    </w:p>
    <w:p w14:paraId="32CAEFD8">
      <w:pPr>
        <w:pStyle w:val="17"/>
        <w:spacing w:line="360" w:lineRule="auto"/>
        <w:rPr>
          <w:rFonts w:hAnsi="宋体"/>
          <w:sz w:val="24"/>
          <w:szCs w:val="28"/>
        </w:rPr>
      </w:pPr>
      <w:r>
        <w:rPr>
          <w:rFonts w:hint="eastAsia" w:hAnsi="宋体"/>
          <w:sz w:val="24"/>
          <w:szCs w:val="28"/>
        </w:rPr>
        <w:t>磋商响应文件；</w:t>
      </w:r>
    </w:p>
    <w:p w14:paraId="739666C7">
      <w:pPr>
        <w:pStyle w:val="17"/>
        <w:numPr>
          <w:ilvl w:val="0"/>
          <w:numId w:val="8"/>
        </w:numPr>
        <w:spacing w:line="360" w:lineRule="auto"/>
        <w:rPr>
          <w:rFonts w:hAnsi="宋体" w:cs="Arial"/>
          <w:sz w:val="24"/>
          <w:szCs w:val="24"/>
        </w:rPr>
      </w:pPr>
      <w:r>
        <w:rPr>
          <w:rFonts w:hint="eastAsia" w:hAnsi="宋体" w:cs="Arial"/>
          <w:sz w:val="24"/>
          <w:szCs w:val="24"/>
        </w:rPr>
        <w:t>磋商函；</w:t>
      </w:r>
    </w:p>
    <w:p w14:paraId="6CBA1533">
      <w:pPr>
        <w:pStyle w:val="17"/>
        <w:numPr>
          <w:ilvl w:val="0"/>
          <w:numId w:val="8"/>
        </w:numPr>
        <w:spacing w:line="360" w:lineRule="auto"/>
        <w:rPr>
          <w:rFonts w:hAnsi="宋体" w:cs="Arial"/>
          <w:sz w:val="24"/>
          <w:szCs w:val="24"/>
        </w:rPr>
      </w:pPr>
      <w:r>
        <w:rPr>
          <w:rFonts w:hint="eastAsia" w:hAnsi="宋体" w:cs="Arial"/>
          <w:sz w:val="24"/>
          <w:szCs w:val="24"/>
        </w:rPr>
        <w:t>法定代表人证明书；</w:t>
      </w:r>
    </w:p>
    <w:p w14:paraId="02A1894A">
      <w:pPr>
        <w:pStyle w:val="17"/>
        <w:numPr>
          <w:ilvl w:val="0"/>
          <w:numId w:val="8"/>
        </w:numPr>
        <w:spacing w:line="360" w:lineRule="auto"/>
        <w:rPr>
          <w:rFonts w:hAnsi="宋体" w:cs="Arial"/>
          <w:sz w:val="24"/>
          <w:szCs w:val="24"/>
        </w:rPr>
      </w:pPr>
      <w:r>
        <w:rPr>
          <w:rFonts w:hint="eastAsia" w:hAnsi="宋体" w:cs="Arial"/>
          <w:sz w:val="24"/>
          <w:szCs w:val="24"/>
        </w:rPr>
        <w:t>法定代表人授权书；</w:t>
      </w:r>
    </w:p>
    <w:p w14:paraId="39F054F4">
      <w:pPr>
        <w:pStyle w:val="17"/>
        <w:numPr>
          <w:ilvl w:val="0"/>
          <w:numId w:val="8"/>
        </w:numPr>
        <w:spacing w:line="360" w:lineRule="auto"/>
        <w:rPr>
          <w:rFonts w:hAnsi="宋体" w:cs="Arial"/>
          <w:sz w:val="24"/>
          <w:szCs w:val="24"/>
        </w:rPr>
      </w:pPr>
      <w:r>
        <w:rPr>
          <w:rFonts w:hint="eastAsia" w:hAnsi="宋体" w:cs="Arial"/>
          <w:sz w:val="24"/>
          <w:szCs w:val="24"/>
        </w:rPr>
        <w:t>磋商供应商承诺书；</w:t>
      </w:r>
    </w:p>
    <w:p w14:paraId="37CBEE0F">
      <w:pPr>
        <w:pStyle w:val="17"/>
        <w:numPr>
          <w:ilvl w:val="0"/>
          <w:numId w:val="8"/>
        </w:numPr>
        <w:spacing w:line="360" w:lineRule="auto"/>
        <w:rPr>
          <w:rFonts w:hAnsi="宋体" w:cs="Arial"/>
          <w:sz w:val="24"/>
          <w:szCs w:val="24"/>
        </w:rPr>
      </w:pPr>
      <w:r>
        <w:rPr>
          <w:rFonts w:hint="eastAsia" w:hAnsi="宋体" w:cs="Arial"/>
          <w:sz w:val="24"/>
          <w:szCs w:val="24"/>
        </w:rPr>
        <w:t>供应商诚信承诺书；</w:t>
      </w:r>
    </w:p>
    <w:p w14:paraId="560E949C">
      <w:pPr>
        <w:pStyle w:val="17"/>
        <w:numPr>
          <w:ilvl w:val="0"/>
          <w:numId w:val="8"/>
        </w:numPr>
        <w:spacing w:line="360" w:lineRule="auto"/>
        <w:rPr>
          <w:rFonts w:hAnsi="宋体" w:cs="Arial"/>
          <w:sz w:val="24"/>
          <w:szCs w:val="24"/>
        </w:rPr>
      </w:pPr>
      <w:r>
        <w:rPr>
          <w:rFonts w:hint="eastAsia" w:hAnsi="宋体" w:cs="Arial"/>
          <w:sz w:val="24"/>
          <w:szCs w:val="24"/>
        </w:rPr>
        <w:t>资格证明材料；</w:t>
      </w:r>
    </w:p>
    <w:p w14:paraId="0B155CCE">
      <w:pPr>
        <w:pStyle w:val="17"/>
        <w:numPr>
          <w:ilvl w:val="0"/>
          <w:numId w:val="8"/>
        </w:numPr>
        <w:spacing w:line="360" w:lineRule="auto"/>
        <w:rPr>
          <w:rFonts w:hAnsi="宋体" w:cs="Arial"/>
          <w:sz w:val="24"/>
          <w:szCs w:val="24"/>
        </w:rPr>
      </w:pPr>
      <w:r>
        <w:rPr>
          <w:rFonts w:hint="eastAsia" w:hAnsi="宋体" w:cs="Arial"/>
          <w:sz w:val="24"/>
          <w:szCs w:val="24"/>
        </w:rPr>
        <w:t>财务状况、缴纳税收和社会保障资金证明；</w:t>
      </w:r>
    </w:p>
    <w:p w14:paraId="2A045EE3">
      <w:pPr>
        <w:pStyle w:val="17"/>
        <w:numPr>
          <w:ilvl w:val="0"/>
          <w:numId w:val="8"/>
        </w:numPr>
        <w:spacing w:line="360" w:lineRule="auto"/>
        <w:rPr>
          <w:rFonts w:hAnsi="宋体" w:cs="Arial"/>
          <w:sz w:val="24"/>
          <w:szCs w:val="24"/>
        </w:rPr>
      </w:pPr>
      <w:r>
        <w:rPr>
          <w:rFonts w:hint="eastAsia" w:hAnsi="宋体" w:cs="Arial"/>
          <w:sz w:val="24"/>
          <w:szCs w:val="24"/>
        </w:rPr>
        <w:t>具备履行合同所必须的设备和专业技术能力证明；</w:t>
      </w:r>
    </w:p>
    <w:p w14:paraId="12C7BA84">
      <w:pPr>
        <w:pStyle w:val="17"/>
        <w:numPr>
          <w:ilvl w:val="0"/>
          <w:numId w:val="8"/>
        </w:numPr>
        <w:spacing w:line="360" w:lineRule="auto"/>
        <w:rPr>
          <w:rFonts w:hAnsi="宋体" w:cs="Arial"/>
          <w:sz w:val="24"/>
          <w:szCs w:val="24"/>
        </w:rPr>
      </w:pPr>
      <w:r>
        <w:rPr>
          <w:rFonts w:hint="eastAsia" w:hAnsi="宋体" w:cs="Arial"/>
          <w:sz w:val="24"/>
          <w:szCs w:val="24"/>
        </w:rPr>
        <w:t>无重大违法记录声明；</w:t>
      </w:r>
    </w:p>
    <w:p w14:paraId="39C8A72B">
      <w:pPr>
        <w:pStyle w:val="17"/>
        <w:numPr>
          <w:ilvl w:val="0"/>
          <w:numId w:val="8"/>
        </w:numPr>
        <w:spacing w:line="360" w:lineRule="auto"/>
        <w:rPr>
          <w:rFonts w:hAnsi="宋体" w:cs="Arial"/>
          <w:sz w:val="24"/>
          <w:szCs w:val="24"/>
        </w:rPr>
      </w:pPr>
      <w:r>
        <w:rPr>
          <w:rFonts w:hint="eastAsia" w:hAnsi="宋体" w:cs="Arial"/>
          <w:sz w:val="24"/>
          <w:szCs w:val="24"/>
        </w:rPr>
        <w:t>磋商保证金证明</w:t>
      </w:r>
      <w:r>
        <w:rPr>
          <w:rFonts w:hint="eastAsia" w:hAnsi="宋体" w:cs="Arial"/>
          <w:sz w:val="24"/>
          <w:szCs w:val="24"/>
          <w:lang w:eastAsia="zh-CN"/>
        </w:rPr>
        <w:t>；</w:t>
      </w:r>
    </w:p>
    <w:p w14:paraId="14A824F8">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评分对照表；</w:t>
      </w:r>
    </w:p>
    <w:p w14:paraId="03476024">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竞争性磋商首次报价表；</w:t>
      </w:r>
    </w:p>
    <w:p w14:paraId="2A1D1B26">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服务要求响应表；</w:t>
      </w:r>
    </w:p>
    <w:p w14:paraId="055B3553">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供应商基本情况表；</w:t>
      </w:r>
    </w:p>
    <w:p w14:paraId="040DE707">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拟投入项目服务团队情况表；</w:t>
      </w:r>
    </w:p>
    <w:p w14:paraId="06FAA213">
      <w:pPr>
        <w:pStyle w:val="17"/>
        <w:numPr>
          <w:ilvl w:val="0"/>
          <w:numId w:val="8"/>
        </w:numPr>
        <w:spacing w:line="360" w:lineRule="auto"/>
        <w:rPr>
          <w:rFonts w:hAnsi="宋体" w:cs="Arial"/>
          <w:color w:val="000000" w:themeColor="text1"/>
          <w:sz w:val="24"/>
          <w:szCs w:val="24"/>
          <w14:textFill>
            <w14:solidFill>
              <w14:schemeClr w14:val="tx1"/>
            </w14:solidFill>
          </w14:textFill>
        </w:rPr>
      </w:pPr>
      <w:r>
        <w:rPr>
          <w:rFonts w:hint="eastAsia" w:hAnsi="宋体" w:cs="Arial"/>
          <w:color w:val="000000" w:themeColor="text1"/>
          <w:sz w:val="24"/>
          <w:szCs w:val="24"/>
          <w14:textFill>
            <w14:solidFill>
              <w14:schemeClr w14:val="tx1"/>
            </w14:solidFill>
          </w14:textFill>
        </w:rPr>
        <w:t>服务方案；</w:t>
      </w:r>
    </w:p>
    <w:p w14:paraId="4CC4A268">
      <w:pPr>
        <w:pStyle w:val="17"/>
        <w:numPr>
          <w:ilvl w:val="0"/>
          <w:numId w:val="8"/>
        </w:numPr>
        <w:spacing w:line="360" w:lineRule="auto"/>
        <w:rPr>
          <w:rFonts w:hAnsi="宋体" w:cs="Arial"/>
          <w:sz w:val="24"/>
          <w:szCs w:val="24"/>
        </w:rPr>
      </w:pPr>
      <w:r>
        <w:rPr>
          <w:rFonts w:hint="eastAsia" w:hAnsi="宋体" w:cs="Arial"/>
          <w:sz w:val="24"/>
          <w:szCs w:val="24"/>
        </w:rPr>
        <w:t>磋商供应商的类似业绩证明材料；</w:t>
      </w:r>
    </w:p>
    <w:p w14:paraId="47EF7D1E">
      <w:pPr>
        <w:pStyle w:val="17"/>
        <w:numPr>
          <w:ilvl w:val="0"/>
          <w:numId w:val="8"/>
        </w:numPr>
        <w:spacing w:line="360" w:lineRule="auto"/>
        <w:rPr>
          <w:rFonts w:hAnsi="宋体" w:cs="Arial"/>
          <w:sz w:val="24"/>
          <w:szCs w:val="24"/>
        </w:rPr>
      </w:pPr>
      <w:r>
        <w:rPr>
          <w:rFonts w:hint="eastAsia" w:hAnsi="宋体" w:cs="Arial"/>
          <w:sz w:val="24"/>
          <w:szCs w:val="24"/>
        </w:rPr>
        <w:t>中小企业声明函；</w:t>
      </w:r>
    </w:p>
    <w:p w14:paraId="43308D66">
      <w:pPr>
        <w:pStyle w:val="17"/>
        <w:numPr>
          <w:ilvl w:val="0"/>
          <w:numId w:val="8"/>
        </w:numPr>
        <w:spacing w:line="360" w:lineRule="auto"/>
        <w:rPr>
          <w:rFonts w:hAnsi="宋体" w:cs="Arial"/>
          <w:sz w:val="24"/>
          <w:szCs w:val="24"/>
        </w:rPr>
      </w:pPr>
      <w:r>
        <w:rPr>
          <w:rFonts w:hint="eastAsia" w:hAnsi="宋体" w:cs="Arial"/>
          <w:sz w:val="24"/>
          <w:szCs w:val="24"/>
        </w:rPr>
        <w:t>残疾人福利性单位声明函；</w:t>
      </w:r>
    </w:p>
    <w:p w14:paraId="39DA5E10">
      <w:pPr>
        <w:pStyle w:val="17"/>
        <w:numPr>
          <w:ilvl w:val="0"/>
          <w:numId w:val="8"/>
        </w:numPr>
        <w:spacing w:line="360" w:lineRule="auto"/>
        <w:rPr>
          <w:rFonts w:hAnsi="宋体" w:cs="Arial"/>
          <w:sz w:val="24"/>
          <w:szCs w:val="24"/>
        </w:rPr>
      </w:pPr>
      <w:r>
        <w:rPr>
          <w:rFonts w:hint="eastAsia" w:hAnsi="宋体" w:cs="Arial"/>
          <w:sz w:val="24"/>
          <w:szCs w:val="24"/>
        </w:rPr>
        <w:t>磋商供应商认为在其他方面有必要说明的事项；</w:t>
      </w:r>
    </w:p>
    <w:p w14:paraId="6B2E4C3F">
      <w:pPr>
        <w:pStyle w:val="17"/>
        <w:spacing w:line="360" w:lineRule="auto"/>
        <w:ind w:firstLine="480" w:firstLineChars="200"/>
        <w:rPr>
          <w:rFonts w:hAnsi="宋体" w:cs="Arial"/>
          <w:sz w:val="24"/>
          <w:szCs w:val="24"/>
        </w:rPr>
      </w:pPr>
      <w:r>
        <w:rPr>
          <w:rFonts w:hint="eastAsia" w:hAnsi="宋体" w:cs="Arial"/>
          <w:sz w:val="24"/>
          <w:szCs w:val="24"/>
        </w:rPr>
        <w:t>注：磋商供应商须按上述内容、顺序和格式编制磋商响应文件，并按要求编制目录、页码，并保证所提供的全部资料真实可信，自愿承担相应责任。</w:t>
      </w:r>
    </w:p>
    <w:p w14:paraId="45FAFB3E">
      <w:pPr>
        <w:pStyle w:val="6"/>
        <w:spacing w:beforeLines="50" w:afterLines="50" w:line="360" w:lineRule="auto"/>
        <w:outlineLvl w:val="2"/>
        <w:rPr>
          <w:rFonts w:ascii="宋体" w:hAnsi="宋体" w:cs="宋体"/>
          <w:bCs w:val="0"/>
        </w:rPr>
      </w:pPr>
      <w:bookmarkStart w:id="201" w:name="_Toc1073"/>
      <w:bookmarkStart w:id="202" w:name="_Toc488673626"/>
      <w:bookmarkStart w:id="203" w:name="_Toc3890"/>
      <w:bookmarkStart w:id="204" w:name="_Toc18253"/>
      <w:bookmarkStart w:id="205" w:name="_Toc6939"/>
      <w:bookmarkStart w:id="206" w:name="_Toc3238"/>
      <w:bookmarkStart w:id="207" w:name="_Toc19171"/>
      <w:r>
        <w:rPr>
          <w:rFonts w:hint="eastAsia" w:ascii="宋体" w:hAnsi="宋体" w:cs="宋体"/>
          <w:bCs w:val="0"/>
        </w:rPr>
        <w:t>12.磋商响应文件的编制要求</w:t>
      </w:r>
      <w:bookmarkEnd w:id="201"/>
      <w:bookmarkEnd w:id="202"/>
      <w:bookmarkEnd w:id="203"/>
      <w:bookmarkEnd w:id="204"/>
      <w:bookmarkEnd w:id="205"/>
      <w:bookmarkEnd w:id="206"/>
      <w:bookmarkEnd w:id="207"/>
    </w:p>
    <w:p w14:paraId="038AD07B">
      <w:pPr>
        <w:pStyle w:val="17"/>
        <w:spacing w:line="360" w:lineRule="auto"/>
        <w:ind w:firstLine="420" w:firstLineChars="175"/>
        <w:rPr>
          <w:rFonts w:hAnsi="宋体"/>
          <w:sz w:val="24"/>
          <w:szCs w:val="28"/>
        </w:rPr>
      </w:pPr>
      <w:r>
        <w:rPr>
          <w:rFonts w:hint="eastAsia" w:hAnsi="宋体" w:cs="宋体"/>
          <w:sz w:val="24"/>
        </w:rPr>
        <w:t>12.1</w:t>
      </w:r>
      <w:r>
        <w:rPr>
          <w:rFonts w:hint="eastAsia" w:hAnsi="宋体" w:cs="宋体"/>
          <w:sz w:val="24"/>
          <w:lang w:val="zh-CN"/>
        </w:rPr>
        <w:t>磋商供应商应按照磋商文件所提供的磋商响应文件格式，分别填写磋商文件第</w:t>
      </w:r>
      <w:r>
        <w:rPr>
          <w:rFonts w:hint="eastAsia" w:hAnsi="宋体" w:cs="宋体"/>
          <w:sz w:val="24"/>
        </w:rPr>
        <w:t>四</w:t>
      </w:r>
      <w:r>
        <w:rPr>
          <w:rFonts w:hint="eastAsia" w:hAnsi="宋体" w:cs="宋体"/>
          <w:sz w:val="24"/>
          <w:lang w:val="zh-CN"/>
        </w:rPr>
        <w:t>部分的内容，应分别注明所提供服务的名称、数量和价格等内容；磋商文件要求签字、盖章的地方必须由磋商供应商的法定代表人或委托代理人按要求签字、盖章。</w:t>
      </w:r>
    </w:p>
    <w:p w14:paraId="09502AD5">
      <w:pPr>
        <w:pStyle w:val="4"/>
        <w:numPr>
          <w:ilvl w:val="0"/>
          <w:numId w:val="6"/>
        </w:numPr>
        <w:spacing w:beforeLines="100" w:afterLines="100"/>
        <w:jc w:val="center"/>
        <w:outlineLvl w:val="1"/>
        <w:rPr>
          <w:rFonts w:hAnsi="宋体" w:cs="宋体"/>
          <w:b/>
          <w:sz w:val="32"/>
          <w:szCs w:val="32"/>
        </w:rPr>
      </w:pPr>
      <w:bookmarkStart w:id="208" w:name="_Toc9812"/>
      <w:bookmarkStart w:id="209" w:name="_Toc21310"/>
      <w:r>
        <w:rPr>
          <w:rFonts w:hint="eastAsia" w:hAnsi="宋体" w:cs="宋体"/>
          <w:b/>
          <w:sz w:val="32"/>
          <w:szCs w:val="32"/>
        </w:rPr>
        <w:t>磋商响应文件的递交</w:t>
      </w:r>
      <w:bookmarkEnd w:id="208"/>
      <w:bookmarkEnd w:id="209"/>
    </w:p>
    <w:p w14:paraId="66A00F1F">
      <w:pPr>
        <w:pStyle w:val="6"/>
        <w:spacing w:beforeLines="50" w:afterLines="50" w:line="360" w:lineRule="auto"/>
        <w:outlineLvl w:val="2"/>
        <w:rPr>
          <w:rFonts w:ascii="宋体" w:hAnsi="宋体" w:cs="宋体"/>
          <w:bCs w:val="0"/>
        </w:rPr>
      </w:pPr>
      <w:bookmarkStart w:id="210" w:name="_Toc7890"/>
      <w:bookmarkStart w:id="211" w:name="_Toc25657"/>
      <w:bookmarkStart w:id="212" w:name="_Toc488673628"/>
      <w:bookmarkStart w:id="213" w:name="_Toc2493"/>
      <w:bookmarkStart w:id="214" w:name="_Toc15281"/>
      <w:bookmarkStart w:id="215" w:name="_Toc17684"/>
      <w:bookmarkStart w:id="216" w:name="_Toc20468"/>
      <w:r>
        <w:rPr>
          <w:rFonts w:hint="eastAsia" w:ascii="宋体" w:hAnsi="宋体" w:cs="宋体"/>
          <w:bCs w:val="0"/>
        </w:rPr>
        <w:t>13.磋商响应文件的密封和标记</w:t>
      </w:r>
      <w:bookmarkEnd w:id="210"/>
      <w:bookmarkEnd w:id="211"/>
      <w:bookmarkEnd w:id="212"/>
      <w:bookmarkEnd w:id="213"/>
      <w:bookmarkEnd w:id="214"/>
      <w:bookmarkEnd w:id="215"/>
      <w:bookmarkEnd w:id="216"/>
    </w:p>
    <w:p w14:paraId="17973B83">
      <w:pPr>
        <w:autoSpaceDE w:val="0"/>
        <w:autoSpaceDN w:val="0"/>
        <w:spacing w:line="360" w:lineRule="auto"/>
        <w:ind w:firstLine="480" w:firstLineChars="200"/>
        <w:rPr>
          <w:rFonts w:ascii="宋体" w:hAnsi="宋体" w:cs="宋体"/>
          <w:kern w:val="0"/>
          <w:sz w:val="24"/>
          <w:szCs w:val="20"/>
        </w:rPr>
      </w:pPr>
      <w:bookmarkStart w:id="217" w:name="_Toc24184"/>
      <w:bookmarkStart w:id="218" w:name="_Toc488673629"/>
      <w:r>
        <w:rPr>
          <w:rFonts w:hint="eastAsia" w:ascii="宋体" w:hAnsi="宋体" w:cs="宋体"/>
          <w:kern w:val="0"/>
          <w:sz w:val="24"/>
          <w:szCs w:val="20"/>
          <w:lang w:val="zh-CN"/>
        </w:rPr>
        <w:t>本次</w:t>
      </w:r>
      <w:r>
        <w:rPr>
          <w:rFonts w:hint="eastAsia" w:ascii="宋体" w:hAnsi="宋体" w:cs="宋体"/>
          <w:kern w:val="0"/>
          <w:sz w:val="24"/>
          <w:szCs w:val="20"/>
        </w:rPr>
        <w:t>采购</w:t>
      </w:r>
      <w:r>
        <w:rPr>
          <w:rFonts w:hint="eastAsia" w:ascii="宋体" w:hAnsi="宋体" w:cs="宋体"/>
          <w:kern w:val="0"/>
          <w:sz w:val="24"/>
          <w:szCs w:val="20"/>
          <w:lang w:val="zh-CN"/>
        </w:rPr>
        <w:t>采用线上提交</w:t>
      </w:r>
      <w:r>
        <w:rPr>
          <w:rFonts w:hint="eastAsia" w:ascii="宋体" w:hAnsi="宋体" w:cs="宋体"/>
          <w:kern w:val="0"/>
          <w:sz w:val="24"/>
          <w:szCs w:val="20"/>
        </w:rPr>
        <w:t>磋商响应文件</w:t>
      </w:r>
      <w:r>
        <w:rPr>
          <w:rFonts w:hint="eastAsia" w:ascii="宋体" w:hAnsi="宋体" w:cs="宋体"/>
          <w:kern w:val="0"/>
          <w:sz w:val="24"/>
          <w:szCs w:val="20"/>
          <w:lang w:val="zh-CN"/>
        </w:rPr>
        <w:t>的方式进行，</w:t>
      </w:r>
      <w:r>
        <w:rPr>
          <w:rFonts w:hint="eastAsia" w:ascii="宋体" w:hAnsi="宋体" w:cs="宋体"/>
          <w:kern w:val="0"/>
          <w:sz w:val="24"/>
          <w:szCs w:val="20"/>
        </w:rPr>
        <w:t>磋商响应文件</w:t>
      </w:r>
      <w:r>
        <w:rPr>
          <w:rFonts w:hint="eastAsia" w:ascii="宋体" w:hAnsi="宋体" w:cs="宋体"/>
          <w:kern w:val="0"/>
          <w:sz w:val="24"/>
          <w:szCs w:val="20"/>
          <w:lang w:val="zh-CN"/>
        </w:rPr>
        <w:t>必须在</w:t>
      </w:r>
      <w:r>
        <w:rPr>
          <w:rFonts w:hint="eastAsia" w:asciiTheme="minorEastAsia" w:hAnsiTheme="minorEastAsia" w:eastAsiaTheme="minorEastAsia" w:cstheme="minorEastAsia"/>
          <w:color w:val="000000" w:themeColor="text1"/>
          <w:sz w:val="24"/>
          <w14:textFill>
            <w14:solidFill>
              <w14:schemeClr w14:val="tx1"/>
            </w14:solidFill>
          </w14:textFill>
        </w:rPr>
        <w:t>磋商截止时间前</w:t>
      </w:r>
      <w:r>
        <w:rPr>
          <w:rFonts w:hint="eastAsia" w:ascii="宋体" w:hAnsi="宋体" w:cs="宋体"/>
          <w:kern w:val="0"/>
          <w:sz w:val="24"/>
          <w:szCs w:val="20"/>
          <w:lang w:val="zh-CN"/>
        </w:rPr>
        <w:t>上传</w:t>
      </w:r>
      <w:r>
        <w:rPr>
          <w:rFonts w:hint="eastAsia" w:ascii="宋体" w:hAnsi="宋体" w:cs="宋体"/>
          <w:kern w:val="0"/>
          <w:sz w:val="24"/>
          <w:szCs w:val="20"/>
        </w:rPr>
        <w:t>至政采云</w:t>
      </w:r>
      <w:r>
        <w:rPr>
          <w:rFonts w:hint="eastAsia" w:ascii="宋体" w:hAnsi="宋体" w:cs="宋体"/>
          <w:kern w:val="0"/>
          <w:sz w:val="24"/>
          <w:szCs w:val="20"/>
          <w:lang w:val="zh-CN"/>
        </w:rPr>
        <w:t>平台。</w:t>
      </w:r>
    </w:p>
    <w:p w14:paraId="278DF846">
      <w:pPr>
        <w:pStyle w:val="6"/>
        <w:spacing w:beforeLines="50" w:afterLines="50" w:line="360" w:lineRule="auto"/>
        <w:outlineLvl w:val="2"/>
        <w:rPr>
          <w:rFonts w:ascii="宋体" w:hAnsi="宋体" w:cs="宋体"/>
          <w:bCs w:val="0"/>
        </w:rPr>
      </w:pPr>
      <w:bookmarkStart w:id="219" w:name="_Toc30995"/>
      <w:bookmarkStart w:id="220" w:name="_Toc9710"/>
      <w:bookmarkStart w:id="221" w:name="_Toc28443"/>
      <w:bookmarkStart w:id="222" w:name="_Toc17234"/>
      <w:bookmarkStart w:id="223" w:name="_Toc24497"/>
      <w:r>
        <w:rPr>
          <w:rFonts w:hint="eastAsia" w:ascii="宋体" w:hAnsi="宋体" w:cs="宋体"/>
          <w:bCs w:val="0"/>
        </w:rPr>
        <w:t>14.递交磋商响应文件的地点、截止时间</w:t>
      </w:r>
      <w:bookmarkEnd w:id="217"/>
      <w:bookmarkEnd w:id="218"/>
      <w:bookmarkEnd w:id="219"/>
      <w:bookmarkEnd w:id="220"/>
      <w:bookmarkEnd w:id="221"/>
      <w:bookmarkEnd w:id="222"/>
      <w:bookmarkEnd w:id="223"/>
    </w:p>
    <w:p w14:paraId="3365EF98">
      <w:pPr>
        <w:autoSpaceDE w:val="0"/>
        <w:autoSpaceDN w:val="0"/>
        <w:spacing w:line="360" w:lineRule="auto"/>
        <w:ind w:firstLine="480" w:firstLineChars="200"/>
        <w:rPr>
          <w:rFonts w:ascii="宋体" w:hAnsi="宋体"/>
          <w:kern w:val="0"/>
          <w:sz w:val="24"/>
          <w:szCs w:val="28"/>
          <w:lang w:val="zh-CN"/>
        </w:rPr>
      </w:pPr>
      <w:bookmarkStart w:id="224" w:name="_Toc17764"/>
      <w:bookmarkStart w:id="225" w:name="_Toc488673630"/>
      <w:r>
        <w:rPr>
          <w:rFonts w:hint="eastAsia" w:ascii="宋体" w:hAnsi="宋体"/>
          <w:kern w:val="0"/>
          <w:sz w:val="24"/>
          <w:szCs w:val="28"/>
          <w:lang w:val="zh-CN"/>
        </w:rPr>
        <w:t>14.1</w:t>
      </w:r>
      <w:r>
        <w:rPr>
          <w:rFonts w:hint="eastAsia" w:hAnsi="宋体"/>
          <w:sz w:val="24"/>
          <w:szCs w:val="28"/>
        </w:rPr>
        <w:t>磋商供应商</w:t>
      </w:r>
      <w:r>
        <w:rPr>
          <w:rFonts w:hint="eastAsia" w:ascii="宋体" w:hAnsi="宋体"/>
          <w:kern w:val="0"/>
          <w:sz w:val="24"/>
          <w:szCs w:val="28"/>
          <w:lang w:val="zh-CN"/>
        </w:rPr>
        <w:t>应当在</w:t>
      </w:r>
      <w:r>
        <w:rPr>
          <w:rFonts w:hint="eastAsia" w:ascii="宋体" w:hAnsi="宋体"/>
          <w:kern w:val="0"/>
          <w:sz w:val="24"/>
          <w:szCs w:val="28"/>
        </w:rPr>
        <w:t>采购</w:t>
      </w:r>
      <w:r>
        <w:rPr>
          <w:rFonts w:hint="eastAsia" w:ascii="宋体" w:hAnsi="宋体"/>
          <w:kern w:val="0"/>
          <w:sz w:val="24"/>
          <w:szCs w:val="28"/>
          <w:lang w:val="zh-CN"/>
        </w:rPr>
        <w:t>文件要求提交</w:t>
      </w:r>
      <w:r>
        <w:rPr>
          <w:rFonts w:hint="eastAsia" w:asciiTheme="minorEastAsia" w:hAnsiTheme="minorEastAsia" w:eastAsiaTheme="minorEastAsia" w:cstheme="minorEastAsia"/>
          <w:color w:val="000000" w:themeColor="text1"/>
          <w:sz w:val="24"/>
          <w14:textFill>
            <w14:solidFill>
              <w14:schemeClr w14:val="tx1"/>
            </w14:solidFill>
          </w14:textFill>
        </w:rPr>
        <w:t>磋商截止时间前</w:t>
      </w:r>
      <w:r>
        <w:rPr>
          <w:rFonts w:hint="eastAsia" w:ascii="宋体" w:hAnsi="宋体"/>
          <w:kern w:val="0"/>
          <w:sz w:val="24"/>
          <w:szCs w:val="28"/>
          <w:lang w:val="zh-CN"/>
        </w:rPr>
        <w:t>，</w:t>
      </w:r>
      <w:r>
        <w:rPr>
          <w:rFonts w:hint="eastAsia" w:ascii="宋体" w:hAnsi="宋体"/>
          <w:kern w:val="0"/>
          <w:sz w:val="24"/>
          <w:szCs w:val="28"/>
        </w:rPr>
        <w:t>将</w:t>
      </w:r>
      <w:r>
        <w:rPr>
          <w:rFonts w:hint="eastAsia" w:ascii="宋体" w:hAnsi="宋体" w:cs="宋体"/>
          <w:kern w:val="0"/>
          <w:sz w:val="24"/>
          <w:szCs w:val="20"/>
        </w:rPr>
        <w:t>磋商响应文件</w:t>
      </w:r>
      <w:r>
        <w:rPr>
          <w:rFonts w:hint="eastAsia" w:ascii="宋体" w:hAnsi="宋体"/>
          <w:kern w:val="0"/>
          <w:sz w:val="24"/>
          <w:szCs w:val="28"/>
        </w:rPr>
        <w:t>上传至</w:t>
      </w:r>
      <w:r>
        <w:rPr>
          <w:rFonts w:hint="eastAsia" w:ascii="宋体" w:hAnsi="宋体"/>
          <w:kern w:val="0"/>
          <w:sz w:val="24"/>
          <w:szCs w:val="28"/>
          <w:lang w:val="zh-CN"/>
        </w:rPr>
        <w:t>政采云投标客户端。</w:t>
      </w:r>
    </w:p>
    <w:p w14:paraId="6FCA1AAA">
      <w:pPr>
        <w:pStyle w:val="30"/>
        <w:spacing w:before="0" w:after="0" w:line="360" w:lineRule="auto"/>
        <w:ind w:firstLine="480" w:firstLineChars="200"/>
        <w:jc w:val="left"/>
        <w:rPr>
          <w:rFonts w:ascii="宋体" w:hAnsi="宋体" w:cs="宋体"/>
          <w:b w:val="0"/>
          <w:bCs w:val="0"/>
          <w:color w:val="000000"/>
          <w:sz w:val="24"/>
          <w:szCs w:val="24"/>
          <w:lang w:val="zh-CN"/>
        </w:rPr>
      </w:pPr>
      <w:bookmarkStart w:id="226" w:name="_Toc6784"/>
      <w:bookmarkStart w:id="227" w:name="_Toc22369"/>
      <w:bookmarkStart w:id="228" w:name="_Toc11121"/>
      <w:r>
        <w:rPr>
          <w:rFonts w:hint="eastAsia" w:ascii="宋体" w:hAnsi="宋体"/>
          <w:b w:val="0"/>
          <w:bCs w:val="0"/>
          <w:sz w:val="24"/>
          <w:szCs w:val="28"/>
          <w:lang w:val="zh-CN"/>
        </w:rPr>
        <w:t>14.2 磋商供应商在</w:t>
      </w:r>
      <w:r>
        <w:rPr>
          <w:rFonts w:hint="eastAsia" w:ascii="宋体" w:hAnsi="宋体"/>
          <w:b w:val="0"/>
          <w:bCs w:val="0"/>
          <w:sz w:val="24"/>
          <w:szCs w:val="28"/>
        </w:rPr>
        <w:t>采购</w:t>
      </w:r>
      <w:r>
        <w:rPr>
          <w:rFonts w:hint="eastAsia" w:ascii="宋体" w:hAnsi="宋体"/>
          <w:b w:val="0"/>
          <w:bCs w:val="0"/>
          <w:sz w:val="24"/>
          <w:szCs w:val="28"/>
          <w:lang w:val="zh-CN"/>
        </w:rPr>
        <w:t>文件要求提交磋商截止时间</w:t>
      </w:r>
      <w:r>
        <w:rPr>
          <w:rFonts w:hint="eastAsia" w:ascii="宋体" w:hAnsi="宋体"/>
          <w:b w:val="0"/>
          <w:bCs w:val="0"/>
          <w:sz w:val="24"/>
          <w:szCs w:val="28"/>
        </w:rPr>
        <w:t>及开标时间</w:t>
      </w:r>
      <w:r>
        <w:rPr>
          <w:rFonts w:hint="eastAsia" w:ascii="宋体" w:hAnsi="宋体"/>
          <w:b w:val="0"/>
          <w:bCs w:val="0"/>
          <w:sz w:val="24"/>
          <w:szCs w:val="28"/>
          <w:lang w:val="zh-CN"/>
        </w:rPr>
        <w:t>前，</w:t>
      </w:r>
      <w:r>
        <w:rPr>
          <w:rFonts w:hint="eastAsia" w:ascii="宋体" w:hAnsi="宋体"/>
          <w:b w:val="0"/>
          <w:bCs w:val="0"/>
          <w:sz w:val="24"/>
          <w:szCs w:val="28"/>
        </w:rPr>
        <w:t>未将磋商响应文件上传至</w:t>
      </w:r>
      <w:r>
        <w:rPr>
          <w:rFonts w:hint="eastAsia" w:ascii="宋体" w:hAnsi="宋体"/>
          <w:b w:val="0"/>
          <w:bCs w:val="0"/>
          <w:sz w:val="24"/>
          <w:szCs w:val="28"/>
          <w:lang w:val="zh-CN"/>
        </w:rPr>
        <w:t>政采云投标客户端、</w:t>
      </w:r>
      <w:r>
        <w:rPr>
          <w:rFonts w:hint="eastAsia" w:ascii="宋体" w:hAnsi="宋体"/>
          <w:b w:val="0"/>
          <w:bCs w:val="0"/>
          <w:sz w:val="24"/>
          <w:szCs w:val="28"/>
        </w:rPr>
        <w:t>或文件解密失败的，视为无效投标</w:t>
      </w:r>
      <w:r>
        <w:rPr>
          <w:rFonts w:hint="eastAsia" w:ascii="宋体" w:hAnsi="宋体"/>
          <w:b w:val="0"/>
          <w:bCs w:val="0"/>
          <w:sz w:val="24"/>
          <w:szCs w:val="28"/>
          <w:lang w:val="zh-CN"/>
        </w:rPr>
        <w:t>。</w:t>
      </w:r>
      <w:bookmarkEnd w:id="226"/>
      <w:bookmarkEnd w:id="227"/>
      <w:bookmarkEnd w:id="228"/>
    </w:p>
    <w:p w14:paraId="0185E33E">
      <w:pPr>
        <w:pStyle w:val="6"/>
        <w:spacing w:beforeLines="50" w:afterLines="50" w:line="360" w:lineRule="auto"/>
        <w:outlineLvl w:val="2"/>
        <w:rPr>
          <w:rFonts w:ascii="宋体" w:hAnsi="宋体" w:cs="宋体"/>
          <w:bCs w:val="0"/>
        </w:rPr>
      </w:pPr>
      <w:bookmarkStart w:id="229" w:name="_Toc1101"/>
      <w:bookmarkStart w:id="230" w:name="_Toc26413"/>
      <w:bookmarkStart w:id="231" w:name="_Toc25875"/>
      <w:bookmarkStart w:id="232" w:name="_Toc9708"/>
      <w:bookmarkStart w:id="233" w:name="_Toc13985"/>
      <w:r>
        <w:rPr>
          <w:rFonts w:hint="eastAsia" w:ascii="宋体" w:hAnsi="宋体" w:cs="宋体"/>
          <w:bCs w:val="0"/>
        </w:rPr>
        <w:t>15.磋商响应文件的撤回和修改</w:t>
      </w:r>
      <w:bookmarkEnd w:id="224"/>
      <w:bookmarkEnd w:id="225"/>
      <w:bookmarkEnd w:id="229"/>
      <w:bookmarkEnd w:id="230"/>
      <w:bookmarkEnd w:id="231"/>
      <w:bookmarkEnd w:id="232"/>
      <w:bookmarkEnd w:id="233"/>
    </w:p>
    <w:p w14:paraId="75DFE075">
      <w:pPr>
        <w:pStyle w:val="17"/>
        <w:spacing w:line="360" w:lineRule="auto"/>
        <w:ind w:firstLine="480" w:firstLineChars="200"/>
        <w:rPr>
          <w:rFonts w:hAnsi="宋体"/>
          <w:sz w:val="24"/>
          <w:szCs w:val="28"/>
        </w:rPr>
      </w:pPr>
      <w:r>
        <w:rPr>
          <w:rFonts w:hint="eastAsia" w:hAnsi="宋体"/>
          <w:sz w:val="24"/>
          <w:szCs w:val="28"/>
        </w:rPr>
        <w:t>15.1允许磋商供应商在磋商截止期前撤回其磋商响应文件（须以书面形式通知采购代理机构），磋商截止期后不得撤回其磋商响应文件。否则，其磋商保证金将不予退还，上缴同级财政部门。</w:t>
      </w:r>
    </w:p>
    <w:p w14:paraId="67E710B0">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15.2</w:t>
      </w:r>
      <w:r>
        <w:rPr>
          <w:rFonts w:ascii="宋体" w:hAnsi="宋体" w:cs="宋体"/>
          <w:kern w:val="0"/>
          <w:sz w:val="24"/>
        </w:rPr>
        <w:t>无论</w:t>
      </w:r>
      <w:r>
        <w:rPr>
          <w:rFonts w:hint="eastAsia" w:ascii="宋体" w:hAnsi="宋体" w:cs="宋体"/>
          <w:kern w:val="0"/>
          <w:sz w:val="24"/>
        </w:rPr>
        <w:t>成交</w:t>
      </w:r>
      <w:r>
        <w:rPr>
          <w:rFonts w:ascii="宋体" w:hAnsi="宋体" w:cs="宋体"/>
          <w:kern w:val="0"/>
          <w:sz w:val="24"/>
        </w:rPr>
        <w:t>与否，磋商供应商递交的一切磋商材料均不予退还</w:t>
      </w:r>
      <w:r>
        <w:rPr>
          <w:rFonts w:hint="eastAsia" w:ascii="宋体" w:hAnsi="宋体" w:cs="宋体"/>
          <w:kern w:val="0"/>
          <w:sz w:val="24"/>
        </w:rPr>
        <w:t>。</w:t>
      </w:r>
    </w:p>
    <w:p w14:paraId="7845E86E">
      <w:pPr>
        <w:pStyle w:val="4"/>
        <w:numPr>
          <w:ilvl w:val="0"/>
          <w:numId w:val="6"/>
        </w:numPr>
        <w:spacing w:beforeLines="100" w:afterLines="100"/>
        <w:jc w:val="center"/>
        <w:outlineLvl w:val="1"/>
        <w:rPr>
          <w:rFonts w:hAnsi="宋体" w:cs="宋体"/>
          <w:b/>
          <w:sz w:val="32"/>
          <w:szCs w:val="32"/>
        </w:rPr>
      </w:pPr>
      <w:bookmarkStart w:id="234" w:name="_Toc673"/>
      <w:bookmarkStart w:id="235" w:name="_Toc24906"/>
      <w:r>
        <w:rPr>
          <w:rFonts w:hint="eastAsia" w:hAnsi="宋体" w:cs="宋体"/>
          <w:b/>
          <w:sz w:val="32"/>
          <w:szCs w:val="32"/>
        </w:rPr>
        <w:t>磋商过程</w:t>
      </w:r>
      <w:bookmarkEnd w:id="234"/>
      <w:bookmarkEnd w:id="235"/>
    </w:p>
    <w:p w14:paraId="5885288C">
      <w:pPr>
        <w:pStyle w:val="6"/>
        <w:spacing w:beforeLines="50" w:afterLines="50" w:line="360" w:lineRule="auto"/>
        <w:outlineLvl w:val="2"/>
        <w:rPr>
          <w:rFonts w:ascii="宋体" w:hAnsi="宋体" w:cs="宋体"/>
          <w:bCs w:val="0"/>
        </w:rPr>
      </w:pPr>
      <w:bookmarkStart w:id="236" w:name="_Toc2128"/>
      <w:bookmarkStart w:id="237" w:name="_Toc6677"/>
      <w:bookmarkStart w:id="238" w:name="_Toc27646"/>
      <w:bookmarkStart w:id="239" w:name="_Toc5081"/>
      <w:bookmarkStart w:id="240" w:name="_Toc6771"/>
      <w:bookmarkStart w:id="241" w:name="_Toc29039"/>
      <w:r>
        <w:rPr>
          <w:rFonts w:hint="eastAsia" w:ascii="宋体" w:hAnsi="宋体" w:cs="宋体"/>
          <w:bCs w:val="0"/>
        </w:rPr>
        <w:t>16.磋商过程</w:t>
      </w:r>
      <w:bookmarkEnd w:id="236"/>
      <w:bookmarkEnd w:id="237"/>
      <w:bookmarkEnd w:id="238"/>
      <w:bookmarkEnd w:id="239"/>
      <w:bookmarkEnd w:id="240"/>
      <w:bookmarkEnd w:id="241"/>
    </w:p>
    <w:p w14:paraId="2140CD9A">
      <w:pPr>
        <w:pStyle w:val="17"/>
        <w:spacing w:line="360" w:lineRule="auto"/>
        <w:ind w:firstLine="480" w:firstLineChars="200"/>
        <w:rPr>
          <w:rFonts w:hAnsi="宋体"/>
          <w:sz w:val="24"/>
          <w:szCs w:val="28"/>
        </w:rPr>
      </w:pPr>
      <w:bookmarkStart w:id="242" w:name="_Toc500355579"/>
      <w:r>
        <w:rPr>
          <w:rFonts w:hint="eastAsia" w:hAnsi="宋体"/>
          <w:sz w:val="24"/>
          <w:szCs w:val="28"/>
        </w:rPr>
        <w:t>16.1</w:t>
      </w:r>
      <w:r>
        <w:rPr>
          <w:rFonts w:hAnsi="宋体"/>
          <w:sz w:val="24"/>
          <w:szCs w:val="28"/>
        </w:rPr>
        <w:t>采购代理机构按本磋商文件中确定的时间和地点组织本项目的磋商活动。供应商应由其法定代表人或委托代理人参加</w:t>
      </w:r>
      <w:r>
        <w:rPr>
          <w:rFonts w:hint="eastAsia" w:hAnsi="宋体"/>
          <w:sz w:val="24"/>
          <w:szCs w:val="28"/>
        </w:rPr>
        <w:t>。</w:t>
      </w:r>
    </w:p>
    <w:p w14:paraId="5E20C228">
      <w:pPr>
        <w:pStyle w:val="17"/>
        <w:spacing w:line="360" w:lineRule="auto"/>
        <w:ind w:left="17" w:leftChars="8" w:firstLine="480" w:firstLineChars="200"/>
        <w:rPr>
          <w:rFonts w:hAnsi="宋体"/>
          <w:sz w:val="24"/>
          <w:szCs w:val="28"/>
        </w:rPr>
      </w:pPr>
      <w:r>
        <w:rPr>
          <w:rFonts w:hint="eastAsia" w:hAnsi="宋体"/>
          <w:sz w:val="24"/>
          <w:szCs w:val="28"/>
        </w:rPr>
        <w:t>16.2</w:t>
      </w:r>
      <w:r>
        <w:rPr>
          <w:rFonts w:hAnsi="宋体"/>
          <w:sz w:val="24"/>
          <w:szCs w:val="28"/>
        </w:rPr>
        <w:t>磋商时，对不同文字文本响应文件的解释发生异议的，以中文文本为准</w:t>
      </w:r>
      <w:bookmarkEnd w:id="242"/>
      <w:r>
        <w:rPr>
          <w:rFonts w:hint="eastAsia" w:hAnsi="宋体"/>
          <w:sz w:val="24"/>
          <w:szCs w:val="28"/>
        </w:rPr>
        <w:t>。</w:t>
      </w:r>
    </w:p>
    <w:p w14:paraId="78C3DFCB">
      <w:pPr>
        <w:pStyle w:val="17"/>
        <w:spacing w:line="360" w:lineRule="auto"/>
        <w:ind w:left="17" w:leftChars="8" w:firstLine="480" w:firstLineChars="200"/>
        <w:rPr>
          <w:rFonts w:hAnsi="宋体"/>
          <w:sz w:val="24"/>
          <w:szCs w:val="28"/>
        </w:rPr>
      </w:pPr>
      <w:r>
        <w:rPr>
          <w:rFonts w:hint="eastAsia" w:hAnsi="宋体" w:cs="宋体"/>
          <w:kern w:val="2"/>
          <w:sz w:val="24"/>
          <w:szCs w:val="24"/>
        </w:rPr>
        <w:t>16.3</w:t>
      </w:r>
      <w:r>
        <w:rPr>
          <w:rFonts w:hAnsi="宋体" w:cs="宋体"/>
          <w:kern w:val="2"/>
          <w:sz w:val="24"/>
          <w:szCs w:val="24"/>
        </w:rPr>
        <w:t>磋商工作由采购代理机构组织，采购人、采购监管、纪检监察等有关方面代表可根据采购项目的具体情况列席。</w:t>
      </w:r>
    </w:p>
    <w:p w14:paraId="12913004">
      <w:pPr>
        <w:pStyle w:val="17"/>
        <w:spacing w:line="360" w:lineRule="auto"/>
        <w:ind w:firstLine="420" w:firstLineChars="175"/>
        <w:rPr>
          <w:rFonts w:hAnsi="宋体"/>
          <w:sz w:val="24"/>
          <w:szCs w:val="28"/>
        </w:rPr>
      </w:pPr>
      <w:r>
        <w:rPr>
          <w:rFonts w:hint="eastAsia" w:hAnsi="宋体"/>
          <w:sz w:val="24"/>
          <w:szCs w:val="28"/>
        </w:rPr>
        <w:t>16.4</w:t>
      </w:r>
      <w:r>
        <w:rPr>
          <w:rFonts w:hAnsi="宋体"/>
          <w:sz w:val="24"/>
          <w:szCs w:val="28"/>
        </w:rPr>
        <w:t>磋商过程有专人记录，并存档备查。</w:t>
      </w:r>
    </w:p>
    <w:p w14:paraId="14A5405F">
      <w:pPr>
        <w:pStyle w:val="107"/>
        <w:spacing w:line="360" w:lineRule="auto"/>
        <w:ind w:firstLine="480"/>
        <w:jc w:val="left"/>
        <w:rPr>
          <w:rFonts w:ascii="宋体" w:hAnsi="宋体" w:cs="宋体"/>
          <w:sz w:val="24"/>
        </w:rPr>
      </w:pPr>
      <w:r>
        <w:rPr>
          <w:rFonts w:hint="eastAsia" w:ascii="宋体" w:hAnsi="宋体" w:cs="宋体"/>
          <w:sz w:val="24"/>
        </w:rPr>
        <w:t>16.5评审委员会应当依法对磋商供应商的资格性审查文件进行审查。</w:t>
      </w:r>
    </w:p>
    <w:p w14:paraId="5E50BA6C">
      <w:pPr>
        <w:pStyle w:val="107"/>
        <w:spacing w:line="360" w:lineRule="auto"/>
        <w:ind w:firstLine="0" w:firstLineChars="0"/>
        <w:jc w:val="left"/>
        <w:rPr>
          <w:rFonts w:ascii="宋体" w:hAnsi="宋体" w:cs="宋体"/>
          <w:sz w:val="24"/>
        </w:rPr>
      </w:pPr>
      <w:r>
        <w:rPr>
          <w:rFonts w:hint="eastAsia" w:ascii="宋体" w:hAnsi="宋体" w:cs="宋体"/>
          <w:sz w:val="24"/>
        </w:rPr>
        <w:t>资格审查时，磋商供应商存在下列情况之一的，按无效磋商处理：</w:t>
      </w:r>
    </w:p>
    <w:p w14:paraId="028C2A34">
      <w:pPr>
        <w:pStyle w:val="107"/>
        <w:numPr>
          <w:ilvl w:val="0"/>
          <w:numId w:val="9"/>
        </w:numPr>
        <w:spacing w:line="360" w:lineRule="auto"/>
        <w:ind w:firstLineChars="0"/>
        <w:jc w:val="left"/>
        <w:rPr>
          <w:rFonts w:ascii="宋体" w:hAnsi="宋体" w:cs="宋体"/>
          <w:sz w:val="24"/>
        </w:rPr>
      </w:pPr>
      <w:r>
        <w:rPr>
          <w:rFonts w:hint="eastAsia" w:ascii="宋体" w:hAnsi="宋体" w:cs="宋体"/>
          <w:sz w:val="24"/>
          <w:shd w:val="clear" w:color="auto" w:fill="FFFFFF"/>
        </w:rPr>
        <w:t>不具备</w:t>
      </w:r>
      <w:r>
        <w:rPr>
          <w:rFonts w:hint="eastAsia" w:ascii="宋体" w:hAnsi="宋体" w:cs="宋体"/>
          <w:kern w:val="0"/>
          <w:sz w:val="24"/>
          <w:lang w:val="zh-CN"/>
        </w:rPr>
        <w:t>第2.2款“合格的磋商供应商”</w:t>
      </w:r>
      <w:r>
        <w:rPr>
          <w:rFonts w:hint="eastAsia" w:ascii="宋体" w:hAnsi="宋体" w:cs="宋体"/>
          <w:sz w:val="24"/>
          <w:shd w:val="clear" w:color="auto" w:fill="FFFFFF"/>
        </w:rPr>
        <w:t>规定的资格要求的；</w:t>
      </w:r>
    </w:p>
    <w:p w14:paraId="6BF04183">
      <w:pPr>
        <w:pStyle w:val="107"/>
        <w:numPr>
          <w:ilvl w:val="0"/>
          <w:numId w:val="9"/>
        </w:numPr>
        <w:spacing w:line="360" w:lineRule="auto"/>
        <w:ind w:firstLineChars="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未按第11.1中（1）-（</w:t>
      </w:r>
      <w:r>
        <w:rPr>
          <w:rFonts w:hint="eastAsia" w:ascii="宋体" w:hAnsi="宋体" w:cs="宋体"/>
          <w:color w:val="000000" w:themeColor="text1"/>
          <w:kern w:val="0"/>
          <w:sz w:val="24"/>
          <w:lang w:val="en-US" w:eastAsia="zh-CN"/>
          <w14:textFill>
            <w14:solidFill>
              <w14:schemeClr w14:val="tx1"/>
            </w14:solidFill>
          </w14:textFill>
        </w:rPr>
        <w:t>13</w:t>
      </w:r>
      <w:r>
        <w:rPr>
          <w:rFonts w:hint="eastAsia" w:ascii="宋体" w:hAnsi="宋体" w:cs="宋体"/>
          <w:color w:val="000000" w:themeColor="text1"/>
          <w:kern w:val="0"/>
          <w:sz w:val="24"/>
          <w14:textFill>
            <w14:solidFill>
              <w14:schemeClr w14:val="tx1"/>
            </w14:solidFill>
          </w14:textFill>
        </w:rPr>
        <w:t>）要求提供相关资料的；</w:t>
      </w:r>
    </w:p>
    <w:p w14:paraId="0603B69C">
      <w:pPr>
        <w:pStyle w:val="107"/>
        <w:numPr>
          <w:ilvl w:val="0"/>
          <w:numId w:val="9"/>
        </w:numPr>
        <w:spacing w:line="360" w:lineRule="auto"/>
        <w:ind w:firstLineChars="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未按磋商文件要求提供磋商保证金的；</w:t>
      </w:r>
    </w:p>
    <w:p w14:paraId="5CDFDB29">
      <w:pPr>
        <w:pStyle w:val="107"/>
        <w:numPr>
          <w:ilvl w:val="0"/>
          <w:numId w:val="9"/>
        </w:numPr>
        <w:spacing w:line="360" w:lineRule="auto"/>
        <w:ind w:firstLineChars="0"/>
        <w:jc w:val="left"/>
        <w:rPr>
          <w:rFonts w:ascii="宋体" w:hAnsi="宋体" w:cs="宋体"/>
          <w:sz w:val="24"/>
        </w:rPr>
      </w:pPr>
      <w:r>
        <w:rPr>
          <w:rFonts w:hint="eastAsia" w:ascii="宋体" w:hAnsi="宋体" w:cs="宋体"/>
          <w:kern w:val="0"/>
          <w:sz w:val="24"/>
        </w:rPr>
        <w:t>资格性审查文件未按磋商文件规定和要求签字、盖章的；</w:t>
      </w:r>
    </w:p>
    <w:p w14:paraId="7C645410">
      <w:pPr>
        <w:pStyle w:val="107"/>
        <w:numPr>
          <w:ilvl w:val="0"/>
          <w:numId w:val="9"/>
        </w:numPr>
        <w:spacing w:line="360" w:lineRule="auto"/>
        <w:ind w:firstLineChars="0"/>
        <w:jc w:val="left"/>
        <w:rPr>
          <w:rFonts w:ascii="宋体" w:hAnsi="宋体" w:cs="宋体"/>
          <w:sz w:val="24"/>
        </w:rPr>
      </w:pPr>
      <w:r>
        <w:rPr>
          <w:rFonts w:hint="eastAsia" w:ascii="宋体" w:hAnsi="宋体" w:cs="宋体"/>
          <w:sz w:val="24"/>
          <w:shd w:val="clear" w:color="auto" w:fill="FFFFFF"/>
        </w:rPr>
        <w:t>报价超过</w:t>
      </w:r>
      <w:r>
        <w:rPr>
          <w:rFonts w:hint="eastAsia" w:ascii="宋体" w:hAnsi="宋体" w:cs="宋体"/>
          <w:kern w:val="0"/>
          <w:sz w:val="24"/>
        </w:rPr>
        <w:t>磋商</w:t>
      </w:r>
      <w:r>
        <w:rPr>
          <w:rFonts w:hint="eastAsia" w:ascii="宋体" w:hAnsi="宋体" w:cs="宋体"/>
          <w:sz w:val="24"/>
          <w:shd w:val="clear" w:color="auto" w:fill="FFFFFF"/>
        </w:rPr>
        <w:t>文件中规定的预算金额或者最高限价的；</w:t>
      </w:r>
    </w:p>
    <w:p w14:paraId="4EDB25CB">
      <w:pPr>
        <w:pStyle w:val="107"/>
        <w:numPr>
          <w:ilvl w:val="0"/>
          <w:numId w:val="9"/>
        </w:numPr>
        <w:spacing w:line="360" w:lineRule="auto"/>
        <w:ind w:firstLineChars="0"/>
        <w:jc w:val="left"/>
        <w:rPr>
          <w:rFonts w:ascii="宋体" w:hAnsi="宋体" w:cs="宋体"/>
          <w:sz w:val="24"/>
        </w:rPr>
      </w:pPr>
      <w:r>
        <w:rPr>
          <w:rFonts w:hint="eastAsia" w:ascii="宋体" w:hAnsi="宋体" w:cs="宋体"/>
          <w:kern w:val="0"/>
          <w:sz w:val="24"/>
          <w:lang w:val="zh-CN"/>
        </w:rPr>
        <w:t>磋商有效期不能满足</w:t>
      </w:r>
      <w:r>
        <w:rPr>
          <w:rFonts w:hint="eastAsia" w:ascii="宋体" w:hAnsi="宋体" w:cs="宋体"/>
          <w:kern w:val="0"/>
          <w:sz w:val="24"/>
        </w:rPr>
        <w:t>磋商</w:t>
      </w:r>
      <w:r>
        <w:rPr>
          <w:rFonts w:hint="eastAsia" w:ascii="宋体" w:hAnsi="宋体" w:cs="宋体"/>
          <w:kern w:val="0"/>
          <w:sz w:val="24"/>
          <w:lang w:val="zh-CN"/>
        </w:rPr>
        <w:t>文件要求的；</w:t>
      </w:r>
    </w:p>
    <w:p w14:paraId="4B00FAAD">
      <w:pPr>
        <w:pStyle w:val="4"/>
        <w:numPr>
          <w:ilvl w:val="0"/>
          <w:numId w:val="6"/>
        </w:numPr>
        <w:spacing w:beforeLines="100" w:afterLines="100"/>
        <w:jc w:val="center"/>
        <w:outlineLvl w:val="1"/>
        <w:rPr>
          <w:rFonts w:hAnsi="宋体" w:cs="宋体"/>
          <w:b/>
          <w:sz w:val="32"/>
          <w:szCs w:val="32"/>
        </w:rPr>
      </w:pPr>
      <w:bookmarkStart w:id="243" w:name="_Toc19585"/>
      <w:bookmarkStart w:id="244" w:name="_Toc10678"/>
      <w:r>
        <w:rPr>
          <w:rFonts w:hint="eastAsia" w:hAnsi="宋体" w:cs="宋体"/>
          <w:b/>
          <w:sz w:val="32"/>
          <w:szCs w:val="32"/>
        </w:rPr>
        <w:t>评审程序及方法</w:t>
      </w:r>
      <w:bookmarkEnd w:id="243"/>
      <w:bookmarkEnd w:id="244"/>
    </w:p>
    <w:p w14:paraId="49978492">
      <w:pPr>
        <w:pStyle w:val="6"/>
        <w:spacing w:beforeLines="50" w:afterLines="50" w:line="360" w:lineRule="auto"/>
        <w:outlineLvl w:val="2"/>
        <w:rPr>
          <w:rFonts w:ascii="宋体" w:hAnsi="宋体" w:cs="宋体"/>
          <w:bCs w:val="0"/>
        </w:rPr>
      </w:pPr>
      <w:bookmarkStart w:id="245" w:name="_Toc10474"/>
      <w:bookmarkStart w:id="246" w:name="_Toc14012"/>
      <w:bookmarkStart w:id="247" w:name="_Toc26412"/>
      <w:bookmarkStart w:id="248" w:name="_Toc20477"/>
      <w:bookmarkStart w:id="249" w:name="_Toc27314"/>
      <w:bookmarkStart w:id="250" w:name="_Toc25750"/>
      <w:r>
        <w:rPr>
          <w:rFonts w:hint="eastAsia" w:ascii="宋体" w:hAnsi="宋体" w:cs="宋体"/>
          <w:bCs w:val="0"/>
        </w:rPr>
        <w:t>17.磋商小组</w:t>
      </w:r>
      <w:bookmarkEnd w:id="245"/>
      <w:bookmarkEnd w:id="246"/>
      <w:bookmarkEnd w:id="247"/>
      <w:bookmarkEnd w:id="248"/>
      <w:bookmarkEnd w:id="249"/>
      <w:bookmarkEnd w:id="250"/>
    </w:p>
    <w:p w14:paraId="55F41292">
      <w:pPr>
        <w:pStyle w:val="17"/>
        <w:spacing w:line="360" w:lineRule="auto"/>
        <w:ind w:firstLine="420" w:firstLineChars="175"/>
        <w:rPr>
          <w:rFonts w:hAnsi="宋体"/>
          <w:sz w:val="24"/>
          <w:szCs w:val="28"/>
        </w:rPr>
      </w:pPr>
      <w:r>
        <w:rPr>
          <w:rFonts w:hint="eastAsia" w:hAnsi="宋体" w:cs="宋体"/>
          <w:sz w:val="24"/>
          <w:szCs w:val="24"/>
        </w:rPr>
        <w:t>17.1采购代理机构将根据采购项目的特点依法组建磋商小组，其成员由具有一定专业水平的技术、经济等方面的专家和采购单位代表等三人以上单数组成。其中技术、经济等方面的专家不少于成员总数的三分之二。</w:t>
      </w:r>
    </w:p>
    <w:p w14:paraId="2A8919B0">
      <w:pPr>
        <w:pStyle w:val="17"/>
        <w:spacing w:line="360" w:lineRule="auto"/>
        <w:ind w:firstLine="420" w:firstLineChars="175"/>
        <w:rPr>
          <w:rFonts w:hAnsi="宋体" w:cs="宋体"/>
          <w:sz w:val="24"/>
          <w:szCs w:val="24"/>
        </w:rPr>
      </w:pPr>
      <w:r>
        <w:rPr>
          <w:rFonts w:hint="eastAsia" w:hAnsi="宋体" w:cs="宋体"/>
          <w:sz w:val="24"/>
          <w:szCs w:val="24"/>
        </w:rPr>
        <w:t>17.2采购人或采购代理机构应当从省级以上财政部门设立的政府采购评审专家库中，通过随机方式抽取评审专家。对技术复杂、专业性强的采购项目，通过随机方式难以确定合适评审专家的，经主管预算单位同意，采购人可以自行选定相应专业领域的评审专家。自行选定评审专家的，应当优先选择本单位以外的评审专家。</w:t>
      </w:r>
    </w:p>
    <w:p w14:paraId="0904E0D6">
      <w:pPr>
        <w:pStyle w:val="17"/>
        <w:spacing w:line="360" w:lineRule="auto"/>
        <w:ind w:firstLine="420" w:firstLineChars="175"/>
        <w:rPr>
          <w:rFonts w:hAnsi="宋体" w:cs="宋体"/>
          <w:sz w:val="24"/>
          <w:szCs w:val="24"/>
        </w:rPr>
      </w:pPr>
      <w:r>
        <w:rPr>
          <w:rFonts w:hint="eastAsia" w:hAnsi="宋体" w:cs="宋体"/>
          <w:sz w:val="24"/>
          <w:szCs w:val="24"/>
        </w:rPr>
        <w:t>17.3评标中因评标委员会成员缺席、回避或者健康等特殊原因导致评标委员会组成不符合规定的，采购人或者采购代理机构应当依法补足后继续评标。被更换的评标委员会成员所作出的评标意见无效。无法及时补足评标委员会成员的，采购代理机构应当停止评标活动，封存所有磋商响应文件和开标、评标资料，依法重新组建评标委员会进行评标。原评标委员会所作出的评标意见无效。</w:t>
      </w:r>
    </w:p>
    <w:p w14:paraId="6D9C37B4">
      <w:pPr>
        <w:pStyle w:val="17"/>
        <w:spacing w:line="360" w:lineRule="auto"/>
        <w:ind w:firstLine="420" w:firstLineChars="175"/>
        <w:rPr>
          <w:rFonts w:hAnsi="宋体" w:cs="宋体"/>
          <w:sz w:val="24"/>
          <w:szCs w:val="24"/>
        </w:rPr>
      </w:pPr>
      <w:r>
        <w:rPr>
          <w:rFonts w:hint="eastAsia" w:hAnsi="宋体" w:cs="宋体"/>
          <w:sz w:val="24"/>
          <w:szCs w:val="24"/>
        </w:rPr>
        <w:t>17.4采购人、采购代理机构应当采取必要措施，保证评标在严格保密的情况下进行。除采购人代表、评标现场组织人员外，采购人的其他工作人员以及与评标工作无关的人员不得进入评标现场。</w:t>
      </w:r>
    </w:p>
    <w:p w14:paraId="4D88653E">
      <w:pPr>
        <w:pStyle w:val="17"/>
        <w:spacing w:line="360" w:lineRule="auto"/>
        <w:ind w:firstLine="420" w:firstLineChars="175"/>
        <w:rPr>
          <w:rFonts w:hAnsi="宋体" w:cs="宋体"/>
          <w:sz w:val="24"/>
          <w:szCs w:val="24"/>
        </w:rPr>
      </w:pPr>
      <w:r>
        <w:rPr>
          <w:rFonts w:hint="eastAsia" w:hAnsi="宋体" w:cs="宋体"/>
          <w:sz w:val="24"/>
          <w:szCs w:val="24"/>
        </w:rPr>
        <w:t xml:space="preserve">  有关人员对评标情况以及在评标过程中获悉的国家秘密、商业秘密负有保密责任。</w:t>
      </w:r>
    </w:p>
    <w:p w14:paraId="5372F229">
      <w:pPr>
        <w:pStyle w:val="17"/>
        <w:spacing w:line="360" w:lineRule="auto"/>
        <w:ind w:firstLine="420" w:firstLineChars="175"/>
        <w:rPr>
          <w:rFonts w:hAnsi="宋体"/>
          <w:sz w:val="24"/>
          <w:szCs w:val="28"/>
        </w:rPr>
      </w:pPr>
      <w:r>
        <w:rPr>
          <w:rFonts w:hint="eastAsia" w:hAnsi="宋体" w:cs="宋体"/>
          <w:sz w:val="24"/>
          <w:szCs w:val="24"/>
        </w:rPr>
        <w:t>17.5磋商由采购代理机构负责组织，具体磋商事务由依法组建的磋商小组负责，并独立履行下列职责：</w:t>
      </w:r>
    </w:p>
    <w:p w14:paraId="52681DD3">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核对评审专家身份和采购人代表授权函，对评审专家在政府采购活动中的职责履行情况予以记录，并及时将有关违法违规行为向财政部门报告；</w:t>
      </w:r>
    </w:p>
    <w:p w14:paraId="53BAFDF7">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宣布评标纪律；</w:t>
      </w:r>
    </w:p>
    <w:p w14:paraId="47F13B01">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公布磋商供应商名单，告知评审专家应当回避的情形；</w:t>
      </w:r>
    </w:p>
    <w:p w14:paraId="4DA9FA68">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组织评标委员会推选评标组长，采购人代表不得担任组长；</w:t>
      </w:r>
    </w:p>
    <w:p w14:paraId="1CC8B84E">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在评标期间采取必要的通讯管理措施，保证评标活动不受外界干扰；</w:t>
      </w:r>
    </w:p>
    <w:p w14:paraId="01390C5E">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根据评标委员会的要求介绍政府采购相关政策法规、磋商文件；</w:t>
      </w:r>
    </w:p>
    <w:p w14:paraId="6A0EBFDF">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维护评标秩序，监督评标委员会依照磋商文件规定的评标程序、方法和标准进行独立评审，及时制止和纠正采购人代表、评审专家的倾向性言论或者违法违规行为；</w:t>
      </w:r>
    </w:p>
    <w:p w14:paraId="1C91592E">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核对评标结果，有19.3规定情形的，要求评标委员会复核或者书面说明理由，评标委员会拒绝的，应予记录并向本级财政部门报告；</w:t>
      </w:r>
    </w:p>
    <w:p w14:paraId="394871EC">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评审工作完成后，按照规定由采购人向评审专家支付劳务报酬和异地评审差旅费，不得向评审专家以外的其他人员支付评审劳务报酬；</w:t>
      </w:r>
    </w:p>
    <w:p w14:paraId="1DD4701C">
      <w:pPr>
        <w:numPr>
          <w:ilvl w:val="0"/>
          <w:numId w:val="10"/>
        </w:numPr>
        <w:autoSpaceDE w:val="0"/>
        <w:autoSpaceDN w:val="0"/>
        <w:spacing w:line="360" w:lineRule="auto"/>
        <w:ind w:left="5" w:firstLine="415"/>
        <w:rPr>
          <w:rFonts w:ascii="宋体" w:hAnsi="宋体" w:cs="宋体"/>
          <w:kern w:val="0"/>
          <w:sz w:val="24"/>
          <w:lang w:val="zh-CN"/>
        </w:rPr>
      </w:pPr>
      <w:r>
        <w:rPr>
          <w:rFonts w:hint="eastAsia" w:ascii="宋体" w:hAnsi="宋体" w:cs="宋体"/>
          <w:kern w:val="0"/>
          <w:sz w:val="24"/>
          <w:lang w:val="zh-CN"/>
        </w:rPr>
        <w:t>处理与评标有关的其他事项。</w:t>
      </w:r>
    </w:p>
    <w:p w14:paraId="7F9E6D39">
      <w:pPr>
        <w:pStyle w:val="17"/>
        <w:numPr>
          <w:ilvl w:val="0"/>
          <w:numId w:val="10"/>
        </w:numPr>
        <w:spacing w:line="360" w:lineRule="auto"/>
        <w:ind w:left="5" w:firstLine="415"/>
        <w:rPr>
          <w:rFonts w:hAnsi="宋体"/>
          <w:sz w:val="24"/>
          <w:szCs w:val="24"/>
        </w:rPr>
      </w:pPr>
      <w:r>
        <w:rPr>
          <w:rFonts w:hint="eastAsia" w:hAnsi="宋体" w:cs="宋体"/>
          <w:sz w:val="24"/>
          <w:szCs w:val="24"/>
          <w:lang w:val="zh-CN"/>
        </w:rPr>
        <w:t>采购人可以在评标前说明项目背景和采购需求，说明内容不得含有歧视性、倾向性意见，不得超出磋商文件所述范围。说明应当提交书面材料，并随磋商文件一并存档。</w:t>
      </w:r>
    </w:p>
    <w:p w14:paraId="72748B3A">
      <w:pPr>
        <w:pStyle w:val="17"/>
        <w:spacing w:line="360" w:lineRule="auto"/>
        <w:ind w:left="141"/>
        <w:rPr>
          <w:rFonts w:hAnsi="宋体"/>
          <w:sz w:val="24"/>
          <w:szCs w:val="28"/>
        </w:rPr>
      </w:pPr>
      <w:r>
        <w:rPr>
          <w:rFonts w:hint="eastAsia" w:hAnsi="宋体" w:cs="宋体"/>
          <w:sz w:val="24"/>
          <w:szCs w:val="24"/>
        </w:rPr>
        <w:t>17.6磋商小组应遵守并履行下列义务</w:t>
      </w:r>
      <w:r>
        <w:rPr>
          <w:rFonts w:hint="eastAsia" w:hAnsi="宋体"/>
          <w:sz w:val="24"/>
          <w:szCs w:val="28"/>
        </w:rPr>
        <w:t>：</w:t>
      </w:r>
    </w:p>
    <w:p w14:paraId="231020BD">
      <w:pPr>
        <w:numPr>
          <w:ilvl w:val="0"/>
          <w:numId w:val="11"/>
        </w:numPr>
        <w:autoSpaceDE w:val="0"/>
        <w:autoSpaceDN w:val="0"/>
        <w:spacing w:line="360" w:lineRule="auto"/>
        <w:ind w:left="5" w:firstLine="415"/>
        <w:rPr>
          <w:rFonts w:ascii="宋体" w:hAnsi="宋体" w:cs="宋体"/>
          <w:kern w:val="0"/>
          <w:sz w:val="24"/>
        </w:rPr>
      </w:pPr>
      <w:r>
        <w:rPr>
          <w:rFonts w:hint="eastAsia" w:ascii="宋体" w:hAnsi="宋体" w:cs="宋体"/>
          <w:kern w:val="0"/>
          <w:sz w:val="24"/>
        </w:rPr>
        <w:t>审查、评价磋商响应文件是否符合磋商文件的商务、技术等实质性要求；</w:t>
      </w:r>
    </w:p>
    <w:p w14:paraId="592E24B4">
      <w:pPr>
        <w:numPr>
          <w:ilvl w:val="0"/>
          <w:numId w:val="11"/>
        </w:numPr>
        <w:autoSpaceDE w:val="0"/>
        <w:autoSpaceDN w:val="0"/>
        <w:spacing w:line="360" w:lineRule="auto"/>
        <w:ind w:left="5" w:firstLine="415"/>
        <w:rPr>
          <w:rFonts w:ascii="宋体" w:hAnsi="宋体" w:cs="宋体"/>
          <w:kern w:val="0"/>
          <w:sz w:val="24"/>
        </w:rPr>
      </w:pPr>
      <w:r>
        <w:rPr>
          <w:rFonts w:hint="eastAsia" w:ascii="宋体" w:hAnsi="宋体" w:cs="宋体"/>
          <w:kern w:val="0"/>
          <w:sz w:val="24"/>
        </w:rPr>
        <w:t>要求磋商供应商对磋商响应文件有关事项作出澄清或者说明；</w:t>
      </w:r>
    </w:p>
    <w:p w14:paraId="45B1F203">
      <w:pPr>
        <w:numPr>
          <w:ilvl w:val="0"/>
          <w:numId w:val="11"/>
        </w:numPr>
        <w:autoSpaceDE w:val="0"/>
        <w:autoSpaceDN w:val="0"/>
        <w:spacing w:line="360" w:lineRule="auto"/>
        <w:ind w:left="5" w:firstLine="415"/>
        <w:rPr>
          <w:rFonts w:ascii="宋体" w:hAnsi="宋体" w:cs="宋体"/>
          <w:kern w:val="0"/>
          <w:sz w:val="24"/>
        </w:rPr>
      </w:pPr>
      <w:r>
        <w:rPr>
          <w:rFonts w:hint="eastAsia" w:ascii="宋体" w:hAnsi="宋体" w:cs="宋体"/>
          <w:kern w:val="0"/>
          <w:sz w:val="24"/>
        </w:rPr>
        <w:t>对磋商响应文件进行比较和评价；</w:t>
      </w:r>
    </w:p>
    <w:p w14:paraId="3AD7394F">
      <w:pPr>
        <w:numPr>
          <w:ilvl w:val="0"/>
          <w:numId w:val="11"/>
        </w:numPr>
        <w:autoSpaceDE w:val="0"/>
        <w:autoSpaceDN w:val="0"/>
        <w:spacing w:line="360" w:lineRule="auto"/>
        <w:ind w:left="5" w:firstLine="415"/>
        <w:rPr>
          <w:rFonts w:ascii="宋体" w:hAnsi="宋体" w:cs="宋体"/>
          <w:kern w:val="0"/>
          <w:sz w:val="24"/>
        </w:rPr>
      </w:pPr>
      <w:r>
        <w:rPr>
          <w:rFonts w:hint="eastAsia" w:ascii="宋体" w:hAnsi="宋体" w:cs="宋体"/>
          <w:kern w:val="0"/>
          <w:sz w:val="24"/>
        </w:rPr>
        <w:t>确定中标候选人名单，以及根据采购人委托直接确定中标人；</w:t>
      </w:r>
    </w:p>
    <w:p w14:paraId="5C587999">
      <w:pPr>
        <w:numPr>
          <w:ilvl w:val="0"/>
          <w:numId w:val="11"/>
        </w:numPr>
        <w:autoSpaceDE w:val="0"/>
        <w:autoSpaceDN w:val="0"/>
        <w:spacing w:line="360" w:lineRule="auto"/>
        <w:ind w:left="5" w:firstLine="415"/>
        <w:rPr>
          <w:rFonts w:ascii="宋体" w:hAnsi="宋体" w:cs="宋体"/>
          <w:kern w:val="0"/>
          <w:sz w:val="24"/>
        </w:rPr>
      </w:pPr>
      <w:r>
        <w:rPr>
          <w:rFonts w:hint="eastAsia" w:ascii="宋体" w:hAnsi="宋体" w:cs="宋体"/>
          <w:kern w:val="0"/>
          <w:sz w:val="24"/>
        </w:rPr>
        <w:t>向采购人、采购代理机构或者有关部门报告评标中发现的违法行为。</w:t>
      </w:r>
    </w:p>
    <w:p w14:paraId="7D9A246A">
      <w:pPr>
        <w:pStyle w:val="17"/>
        <w:spacing w:line="360" w:lineRule="auto"/>
        <w:ind w:left="141"/>
        <w:rPr>
          <w:rFonts w:hAnsi="宋体"/>
          <w:sz w:val="24"/>
          <w:szCs w:val="28"/>
        </w:rPr>
      </w:pPr>
      <w:r>
        <w:rPr>
          <w:rFonts w:hint="eastAsia" w:hAnsi="宋体"/>
          <w:sz w:val="24"/>
          <w:szCs w:val="28"/>
        </w:rPr>
        <w:t>17.7评审工作在有关部门的监督下依法开展，任何单位和个人不得非法干预、影响评审工作和评审结果。</w:t>
      </w:r>
    </w:p>
    <w:p w14:paraId="0DD5C45D">
      <w:pPr>
        <w:pStyle w:val="6"/>
        <w:spacing w:beforeLines="50" w:afterLines="50" w:line="360" w:lineRule="auto"/>
        <w:outlineLvl w:val="2"/>
        <w:rPr>
          <w:rFonts w:ascii="宋体" w:hAnsi="宋体" w:cs="宋体"/>
          <w:bCs w:val="0"/>
        </w:rPr>
      </w:pPr>
      <w:bookmarkStart w:id="251" w:name="_Toc11996"/>
      <w:bookmarkStart w:id="252" w:name="_Toc23136"/>
      <w:bookmarkStart w:id="253" w:name="_Toc12193"/>
      <w:bookmarkStart w:id="254" w:name="_Toc30442"/>
      <w:bookmarkStart w:id="255" w:name="_Toc6209"/>
      <w:bookmarkStart w:id="256" w:name="_Toc488673634"/>
      <w:bookmarkStart w:id="257" w:name="_Toc4729"/>
      <w:r>
        <w:rPr>
          <w:rFonts w:hint="eastAsia" w:ascii="宋体" w:hAnsi="宋体" w:cs="宋体"/>
          <w:bCs w:val="0"/>
        </w:rPr>
        <w:t>18.磋商程序</w:t>
      </w:r>
      <w:bookmarkEnd w:id="251"/>
      <w:bookmarkEnd w:id="252"/>
      <w:bookmarkEnd w:id="253"/>
      <w:bookmarkEnd w:id="254"/>
      <w:bookmarkEnd w:id="255"/>
      <w:bookmarkEnd w:id="256"/>
      <w:bookmarkEnd w:id="257"/>
    </w:p>
    <w:p w14:paraId="65670AD8">
      <w:pPr>
        <w:pStyle w:val="17"/>
        <w:spacing w:line="360" w:lineRule="auto"/>
        <w:ind w:firstLine="420" w:firstLineChars="175"/>
        <w:rPr>
          <w:rFonts w:hAnsi="宋体" w:cs="宋体"/>
          <w:sz w:val="24"/>
          <w:szCs w:val="24"/>
          <w:lang w:val="zh-CN"/>
        </w:rPr>
      </w:pPr>
      <w:r>
        <w:rPr>
          <w:rFonts w:hint="eastAsia" w:hAnsi="宋体" w:cs="宋体"/>
          <w:sz w:val="24"/>
          <w:szCs w:val="24"/>
        </w:rPr>
        <w:t>18.1</w:t>
      </w:r>
      <w:r>
        <w:rPr>
          <w:rFonts w:hint="eastAsia" w:hAnsi="宋体" w:cs="宋体"/>
          <w:sz w:val="24"/>
          <w:szCs w:val="24"/>
          <w:lang w:val="zh-CN"/>
        </w:rPr>
        <w:t>进入磋商阶段后，磋商小组成员按照客观、公正、审慎的原则，根据磋商文件规定的评审程序、评审方法和评审标准独立开展评审工作，负责审议所有响应文件，并按先初审、后详审的程序对响应文件进行评审、评分。</w:t>
      </w:r>
    </w:p>
    <w:p w14:paraId="27EEACDC">
      <w:pPr>
        <w:pStyle w:val="17"/>
        <w:spacing w:line="360" w:lineRule="auto"/>
        <w:ind w:firstLine="420" w:firstLineChars="175"/>
        <w:rPr>
          <w:rFonts w:hAnsi="宋体" w:cs="宋体"/>
          <w:sz w:val="24"/>
          <w:szCs w:val="24"/>
          <w:lang w:val="zh-CN"/>
        </w:rPr>
      </w:pPr>
      <w:r>
        <w:rPr>
          <w:rFonts w:hint="eastAsia" w:hAnsi="宋体" w:cs="宋体"/>
          <w:sz w:val="24"/>
          <w:szCs w:val="24"/>
        </w:rPr>
        <w:t>18.2</w:t>
      </w:r>
      <w:r>
        <w:rPr>
          <w:rFonts w:hint="eastAsia" w:hAnsi="宋体" w:cs="宋体"/>
          <w:sz w:val="24"/>
          <w:szCs w:val="24"/>
          <w:lang w:val="zh-CN"/>
        </w:rPr>
        <w:t>初审阶段为资格性审查和符合性审查。响应文件在响应磋商文件要求方面出现的偏离，分为实质性偏离和非实质性偏离。</w:t>
      </w:r>
    </w:p>
    <w:p w14:paraId="7BDA3D86">
      <w:pPr>
        <w:pStyle w:val="17"/>
        <w:spacing w:line="360" w:lineRule="auto"/>
        <w:ind w:firstLine="420" w:firstLineChars="175"/>
        <w:rPr>
          <w:rFonts w:hAnsi="宋体" w:cs="宋体"/>
          <w:sz w:val="24"/>
          <w:szCs w:val="24"/>
          <w:lang w:val="zh-CN"/>
        </w:rPr>
      </w:pPr>
      <w:r>
        <w:rPr>
          <w:rFonts w:hint="eastAsia" w:hAnsi="宋体" w:cs="宋体"/>
          <w:sz w:val="24"/>
          <w:szCs w:val="24"/>
        </w:rPr>
        <w:t>18.2.1</w:t>
      </w:r>
      <w:r>
        <w:rPr>
          <w:rFonts w:hint="eastAsia" w:hAnsi="宋体" w:cs="宋体"/>
          <w:sz w:val="24"/>
          <w:szCs w:val="24"/>
          <w:lang w:val="zh-CN"/>
        </w:rPr>
        <w:t>实质性偏离是指响应文件未能实质性响应磋商文件的要求。以下情况属于实质性偏离，响应文件有下列情况之一的，按无效文件处理。</w:t>
      </w:r>
    </w:p>
    <w:p w14:paraId="178564EA">
      <w:pPr>
        <w:pStyle w:val="17"/>
        <w:spacing w:line="360" w:lineRule="auto"/>
        <w:ind w:firstLine="420" w:firstLineChars="175"/>
        <w:rPr>
          <w:rFonts w:hAnsi="宋体" w:cs="宋体"/>
          <w:sz w:val="24"/>
          <w:szCs w:val="24"/>
          <w:lang w:val="zh-CN"/>
        </w:rPr>
      </w:pPr>
      <w:r>
        <w:rPr>
          <w:rFonts w:hint="eastAsia" w:hAnsi="宋体" w:cs="宋体"/>
          <w:sz w:val="24"/>
          <w:szCs w:val="24"/>
          <w:lang w:val="zh-CN"/>
        </w:rPr>
        <w:t>（1）不符合第2.2款“合格的供应商”之规定的；</w:t>
      </w:r>
    </w:p>
    <w:p w14:paraId="6165A742">
      <w:pPr>
        <w:pStyle w:val="17"/>
        <w:spacing w:line="360" w:lineRule="auto"/>
        <w:ind w:firstLine="420" w:firstLineChars="175"/>
        <w:rPr>
          <w:rFonts w:hAnsi="宋体" w:cs="宋体"/>
          <w:color w:val="000000" w:themeColor="text1"/>
          <w:sz w:val="24"/>
          <w:szCs w:val="24"/>
          <w:lang w:val="zh-CN"/>
          <w14:textFill>
            <w14:solidFill>
              <w14:schemeClr w14:val="tx1"/>
            </w14:solidFill>
          </w14:textFill>
        </w:rPr>
      </w:pPr>
      <w:r>
        <w:rPr>
          <w:rFonts w:hint="eastAsia" w:hAnsi="宋体" w:cs="宋体"/>
          <w:color w:val="000000" w:themeColor="text1"/>
          <w:sz w:val="24"/>
          <w:szCs w:val="24"/>
          <w:lang w:val="zh-CN"/>
          <w14:textFill>
            <w14:solidFill>
              <w14:schemeClr w14:val="tx1"/>
            </w14:solidFill>
          </w14:textFill>
        </w:rPr>
        <w:t>（2）未按第11.1款（1）-（</w:t>
      </w:r>
      <w:r>
        <w:rPr>
          <w:rFonts w:hint="eastAsia" w:hAnsi="宋体" w:cs="宋体"/>
          <w:color w:val="000000" w:themeColor="text1"/>
          <w:sz w:val="24"/>
          <w:szCs w:val="24"/>
          <w:lang w:val="en-US" w:eastAsia="zh-CN"/>
          <w14:textFill>
            <w14:solidFill>
              <w14:schemeClr w14:val="tx1"/>
            </w14:solidFill>
          </w14:textFill>
        </w:rPr>
        <w:t>13</w:t>
      </w:r>
      <w:r>
        <w:rPr>
          <w:rFonts w:hint="eastAsia" w:hAnsi="宋体" w:cs="宋体"/>
          <w:color w:val="000000" w:themeColor="text1"/>
          <w:sz w:val="24"/>
          <w:szCs w:val="24"/>
          <w:lang w:val="zh-CN"/>
          <w14:textFill>
            <w14:solidFill>
              <w14:schemeClr w14:val="tx1"/>
            </w14:solidFill>
          </w14:textFill>
        </w:rPr>
        <w:t>）要求提供相关资料的；</w:t>
      </w:r>
    </w:p>
    <w:p w14:paraId="791999E2">
      <w:pPr>
        <w:pStyle w:val="17"/>
        <w:spacing w:line="360" w:lineRule="auto"/>
        <w:ind w:firstLine="420" w:firstLineChars="175"/>
        <w:rPr>
          <w:rFonts w:hAnsi="宋体" w:cs="宋体"/>
          <w:sz w:val="24"/>
          <w:szCs w:val="24"/>
          <w:lang w:val="zh-CN"/>
        </w:rPr>
      </w:pPr>
      <w:r>
        <w:rPr>
          <w:rFonts w:hint="eastAsia" w:hAnsi="宋体" w:cs="宋体"/>
          <w:sz w:val="24"/>
          <w:szCs w:val="24"/>
          <w:lang w:val="zh-CN"/>
        </w:rPr>
        <w:t>（3）响应文件内容没有按磋商文件规定和要求签字、盖章的；</w:t>
      </w:r>
    </w:p>
    <w:p w14:paraId="50F8E040">
      <w:pPr>
        <w:pStyle w:val="17"/>
        <w:spacing w:line="360" w:lineRule="auto"/>
        <w:ind w:firstLine="420" w:firstLineChars="175"/>
        <w:rPr>
          <w:rFonts w:hAnsi="宋体" w:cs="宋体"/>
          <w:sz w:val="24"/>
          <w:szCs w:val="24"/>
          <w:lang w:val="zh-CN"/>
        </w:rPr>
      </w:pPr>
      <w:r>
        <w:rPr>
          <w:rFonts w:hint="eastAsia" w:hAnsi="宋体" w:cs="宋体"/>
          <w:sz w:val="24"/>
          <w:szCs w:val="24"/>
          <w:lang w:val="zh-CN"/>
        </w:rPr>
        <w:t>（4）</w:t>
      </w:r>
      <w:r>
        <w:rPr>
          <w:rFonts w:hint="eastAsia" w:hAnsi="宋体" w:cs="宋体"/>
          <w:sz w:val="24"/>
          <w:szCs w:val="24"/>
        </w:rPr>
        <w:t>服务期限</w:t>
      </w:r>
      <w:r>
        <w:rPr>
          <w:rFonts w:hint="eastAsia" w:hAnsi="宋体" w:cs="宋体"/>
          <w:sz w:val="24"/>
          <w:szCs w:val="24"/>
          <w:lang w:val="zh-CN"/>
        </w:rPr>
        <w:t>、磋商有效期不能满足磋商文件要求的；</w:t>
      </w:r>
    </w:p>
    <w:p w14:paraId="280F1675">
      <w:pPr>
        <w:pStyle w:val="17"/>
        <w:spacing w:line="360" w:lineRule="auto"/>
        <w:ind w:firstLine="420" w:firstLineChars="175"/>
        <w:rPr>
          <w:rFonts w:hAnsi="宋体" w:cs="宋体"/>
          <w:sz w:val="24"/>
          <w:szCs w:val="24"/>
          <w:lang w:val="zh-CN"/>
        </w:rPr>
      </w:pPr>
      <w:r>
        <w:rPr>
          <w:rFonts w:hint="eastAsia" w:hAnsi="宋体" w:cs="宋体"/>
          <w:sz w:val="24"/>
          <w:szCs w:val="24"/>
          <w:lang w:val="zh-CN"/>
        </w:rPr>
        <w:t>（5）服务内容未完全满足磋商文件确定的重要技术指标、参数的；</w:t>
      </w:r>
    </w:p>
    <w:p w14:paraId="0E0CF49D">
      <w:pPr>
        <w:pStyle w:val="17"/>
        <w:spacing w:line="360" w:lineRule="auto"/>
        <w:ind w:firstLine="420" w:firstLineChars="175"/>
        <w:rPr>
          <w:rFonts w:hAnsi="宋体" w:cs="宋体"/>
          <w:sz w:val="24"/>
          <w:szCs w:val="24"/>
          <w:lang w:val="zh-CN"/>
        </w:rPr>
      </w:pPr>
      <w:r>
        <w:rPr>
          <w:rFonts w:hint="eastAsia" w:hAnsi="宋体" w:cs="宋体"/>
          <w:sz w:val="24"/>
          <w:szCs w:val="24"/>
          <w:lang w:val="zh-CN"/>
        </w:rPr>
        <w:t>（6）响应文件中附有采购人不能接受的条件的；</w:t>
      </w:r>
    </w:p>
    <w:p w14:paraId="2A1D5B95">
      <w:pPr>
        <w:pStyle w:val="17"/>
        <w:spacing w:line="360" w:lineRule="auto"/>
        <w:ind w:firstLine="420" w:firstLineChars="175"/>
        <w:rPr>
          <w:rFonts w:hAnsi="宋体" w:cs="宋体"/>
          <w:sz w:val="24"/>
          <w:szCs w:val="24"/>
          <w:lang w:val="zh-CN"/>
        </w:rPr>
      </w:pPr>
      <w:r>
        <w:rPr>
          <w:rFonts w:hint="eastAsia" w:hAnsi="宋体" w:cs="宋体"/>
          <w:sz w:val="24"/>
          <w:szCs w:val="24"/>
          <w:lang w:val="zh-CN"/>
        </w:rPr>
        <w:t>（7）磋商小组认为应按无效响应处理的其他情况；</w:t>
      </w:r>
    </w:p>
    <w:p w14:paraId="46CBA54F">
      <w:pPr>
        <w:pStyle w:val="17"/>
        <w:spacing w:line="360" w:lineRule="auto"/>
        <w:ind w:firstLine="420" w:firstLineChars="175"/>
        <w:rPr>
          <w:rFonts w:hAnsi="宋体" w:cs="宋体"/>
          <w:sz w:val="24"/>
          <w:szCs w:val="24"/>
          <w:lang w:val="zh-CN"/>
        </w:rPr>
      </w:pPr>
      <w:r>
        <w:rPr>
          <w:rFonts w:hint="eastAsia" w:hAnsi="宋体" w:cs="宋体"/>
          <w:sz w:val="24"/>
          <w:szCs w:val="24"/>
          <w:lang w:val="zh-CN"/>
        </w:rPr>
        <w:t>（8）法律、法规规定的其他情形。</w:t>
      </w:r>
    </w:p>
    <w:p w14:paraId="5F6365E0">
      <w:pPr>
        <w:pStyle w:val="17"/>
        <w:spacing w:line="360" w:lineRule="auto"/>
        <w:ind w:firstLine="420" w:firstLineChars="175"/>
        <w:rPr>
          <w:rFonts w:hAnsi="宋体" w:cs="宋体"/>
          <w:sz w:val="24"/>
          <w:szCs w:val="24"/>
          <w:lang w:val="zh-CN"/>
        </w:rPr>
      </w:pPr>
      <w:r>
        <w:rPr>
          <w:rFonts w:hint="eastAsia" w:hAnsi="宋体" w:cs="宋体"/>
          <w:sz w:val="24"/>
          <w:szCs w:val="24"/>
        </w:rPr>
        <w:t>18.2.2</w:t>
      </w:r>
      <w:r>
        <w:rPr>
          <w:rFonts w:hint="eastAsia" w:hAnsi="宋体" w:cs="宋体"/>
          <w:sz w:val="24"/>
          <w:szCs w:val="24"/>
          <w:lang w:val="zh-CN"/>
        </w:rPr>
        <w:t>非实质性偏离指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A7CA269">
      <w:pPr>
        <w:pStyle w:val="17"/>
        <w:spacing w:line="360" w:lineRule="auto"/>
        <w:ind w:firstLine="420" w:firstLineChars="175"/>
        <w:rPr>
          <w:rFonts w:hAnsi="宋体" w:cs="宋体"/>
          <w:sz w:val="24"/>
          <w:szCs w:val="24"/>
          <w:lang w:val="zh-CN"/>
        </w:rPr>
      </w:pPr>
      <w:r>
        <w:rPr>
          <w:rFonts w:hint="eastAsia" w:hAnsi="宋体" w:cs="宋体"/>
          <w:sz w:val="24"/>
          <w:szCs w:val="24"/>
          <w:lang w:val="zh-CN"/>
        </w:rPr>
        <w:t>磋商小组要求供应商澄清、说明或者更正响应文件应当以书面形式作出。供应商的澄清、说明或者更正应当由法定代表人或其授权代表签字或者加盖公章。由授权代表签字的，应当附法定代表人授权书。</w:t>
      </w:r>
    </w:p>
    <w:p w14:paraId="4554FE76">
      <w:pPr>
        <w:pStyle w:val="17"/>
        <w:spacing w:line="360" w:lineRule="auto"/>
        <w:ind w:firstLine="420" w:firstLineChars="175"/>
        <w:rPr>
          <w:rFonts w:hAnsi="宋体" w:cs="宋体"/>
          <w:sz w:val="24"/>
          <w:szCs w:val="24"/>
          <w:lang w:val="zh-CN"/>
        </w:rPr>
      </w:pPr>
      <w:r>
        <w:rPr>
          <w:rFonts w:hint="eastAsia" w:hAnsi="宋体" w:cs="宋体"/>
          <w:sz w:val="24"/>
          <w:szCs w:val="24"/>
        </w:rPr>
        <w:t>18.2.3</w:t>
      </w:r>
      <w:r>
        <w:rPr>
          <w:rFonts w:hint="eastAsia" w:hAnsi="宋体" w:cs="宋体"/>
          <w:sz w:val="24"/>
          <w:szCs w:val="24"/>
          <w:lang w:val="zh-CN"/>
        </w:rPr>
        <w:t>在响应文件初审、详审过程中，如果磋商小组成员出现对评审结果有不同意见的，应当以书面形式反映，磋商报告中应注明该不同意见。磋商小组成员拒绝在磋商报告中签字又不书面说明其不同意见和理由的，视为同意磋商结果。</w:t>
      </w:r>
    </w:p>
    <w:p w14:paraId="68068391">
      <w:pPr>
        <w:pStyle w:val="17"/>
        <w:spacing w:line="360" w:lineRule="auto"/>
        <w:ind w:firstLine="420" w:firstLineChars="175"/>
        <w:rPr>
          <w:rFonts w:hAnsi="宋体" w:cs="Arial"/>
          <w:sz w:val="24"/>
          <w:szCs w:val="24"/>
        </w:rPr>
      </w:pPr>
      <w:r>
        <w:rPr>
          <w:rFonts w:hint="eastAsia" w:hAnsi="宋体" w:cs="宋体"/>
          <w:sz w:val="24"/>
          <w:szCs w:val="24"/>
        </w:rPr>
        <w:t>18.3</w:t>
      </w:r>
      <w:r>
        <w:rPr>
          <w:rFonts w:hint="eastAsia" w:hAnsi="宋体" w:cs="宋体"/>
          <w:sz w:val="24"/>
          <w:szCs w:val="24"/>
          <w:lang w:val="zh-CN"/>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w:t>
      </w:r>
      <w:r>
        <w:rPr>
          <w:rFonts w:hAnsi="宋体" w:cs="Arial"/>
          <w:sz w:val="24"/>
          <w:szCs w:val="24"/>
        </w:rPr>
        <w:t>组成部分，磋商小组应及时以书面形式同时通知所有参加磋商的供应商。供应商应当按照磋商文件的变动情况和磋商小组的要求重新提交响应文件，并由其法定代表人或委托代理人签字或者加盖公章。</w:t>
      </w:r>
    </w:p>
    <w:p w14:paraId="53D2B813">
      <w:pPr>
        <w:pStyle w:val="17"/>
        <w:spacing w:line="360" w:lineRule="auto"/>
        <w:ind w:firstLine="420" w:firstLineChars="175"/>
        <w:jc w:val="left"/>
        <w:rPr>
          <w:rFonts w:hAnsi="宋体" w:cs="Arial"/>
          <w:sz w:val="24"/>
          <w:szCs w:val="24"/>
        </w:rPr>
      </w:pPr>
      <w:r>
        <w:rPr>
          <w:rFonts w:hint="eastAsia" w:hAnsi="宋体" w:cs="Arial"/>
          <w:sz w:val="24"/>
          <w:szCs w:val="24"/>
        </w:rPr>
        <w:t>18.4</w:t>
      </w:r>
      <w:r>
        <w:rPr>
          <w:rFonts w:hAnsi="宋体" w:cs="Arial"/>
          <w:sz w:val="24"/>
          <w:szCs w:val="24"/>
        </w:rPr>
        <w:t>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14:paraId="373F027C">
      <w:pPr>
        <w:pStyle w:val="17"/>
        <w:spacing w:line="360" w:lineRule="auto"/>
        <w:ind w:firstLine="420" w:firstLineChars="175"/>
        <w:jc w:val="left"/>
        <w:rPr>
          <w:rFonts w:hAnsi="宋体" w:cs="Arial"/>
          <w:sz w:val="24"/>
          <w:szCs w:val="24"/>
        </w:rPr>
      </w:pPr>
      <w:r>
        <w:rPr>
          <w:rFonts w:hint="eastAsia" w:hAnsi="宋体" w:cs="Arial"/>
          <w:sz w:val="24"/>
          <w:szCs w:val="24"/>
        </w:rPr>
        <w:t>18</w:t>
      </w:r>
      <w:r>
        <w:rPr>
          <w:rFonts w:hAnsi="宋体" w:cs="Arial"/>
          <w:sz w:val="24"/>
          <w:szCs w:val="24"/>
        </w:rPr>
        <w:t>.5供应商最后磋商报价超过磋商文件中规定的采购预算额度或最后磋商报价出现两个及以上报价方案的，按实质性不响应处理。</w:t>
      </w:r>
    </w:p>
    <w:p w14:paraId="13394C5A">
      <w:pPr>
        <w:pStyle w:val="6"/>
        <w:spacing w:beforeLines="50" w:afterLines="50" w:line="360" w:lineRule="auto"/>
        <w:outlineLvl w:val="2"/>
        <w:rPr>
          <w:rFonts w:ascii="宋体" w:hAnsi="宋体" w:cs="宋体"/>
          <w:bCs w:val="0"/>
        </w:rPr>
      </w:pPr>
      <w:bookmarkStart w:id="258" w:name="_Toc11100"/>
      <w:bookmarkStart w:id="259" w:name="_Toc22171"/>
      <w:bookmarkStart w:id="260" w:name="_Toc30411"/>
      <w:bookmarkStart w:id="261" w:name="_Toc18997"/>
      <w:bookmarkStart w:id="262" w:name="_Toc30234"/>
      <w:bookmarkStart w:id="263" w:name="_Toc8802"/>
      <w:r>
        <w:rPr>
          <w:rFonts w:hint="eastAsia" w:ascii="宋体" w:hAnsi="宋体" w:cs="宋体"/>
          <w:bCs w:val="0"/>
        </w:rPr>
        <w:t>19.</w:t>
      </w:r>
      <w:r>
        <w:rPr>
          <w:rFonts w:ascii="宋体" w:hAnsi="宋体" w:cs="宋体"/>
          <w:bCs w:val="0"/>
        </w:rPr>
        <w:t>评审办法</w:t>
      </w:r>
      <w:bookmarkEnd w:id="258"/>
      <w:bookmarkEnd w:id="259"/>
      <w:bookmarkEnd w:id="260"/>
      <w:bookmarkEnd w:id="261"/>
      <w:bookmarkEnd w:id="262"/>
      <w:bookmarkEnd w:id="263"/>
    </w:p>
    <w:p w14:paraId="73408F81">
      <w:pPr>
        <w:pStyle w:val="17"/>
        <w:spacing w:line="360" w:lineRule="auto"/>
        <w:ind w:firstLine="420" w:firstLineChars="175"/>
        <w:jc w:val="left"/>
        <w:rPr>
          <w:rFonts w:hAnsi="宋体" w:cs="Arial"/>
          <w:sz w:val="24"/>
          <w:szCs w:val="24"/>
        </w:rPr>
      </w:pPr>
      <w:r>
        <w:rPr>
          <w:rFonts w:hint="eastAsia" w:hAnsi="宋体" w:cs="Arial"/>
          <w:sz w:val="24"/>
          <w:szCs w:val="24"/>
        </w:rPr>
        <w:t>19.1</w:t>
      </w:r>
      <w:r>
        <w:rPr>
          <w:rFonts w:hAnsi="宋体" w:cs="Arial"/>
          <w:sz w:val="24"/>
          <w:szCs w:val="24"/>
        </w:rPr>
        <w:t>依照《中华人民共和国政府采购法》、《中华人民共和国政府采购法实施条例》、《政府采购竞争性磋商采购方式管理暂行办法》的规定，结合该项目的特点制定本评审办法。本次评审采用综合评分法。</w:t>
      </w:r>
    </w:p>
    <w:p w14:paraId="55B953D1">
      <w:pPr>
        <w:pStyle w:val="17"/>
        <w:spacing w:line="360" w:lineRule="auto"/>
        <w:ind w:firstLine="420" w:firstLineChars="175"/>
        <w:jc w:val="left"/>
        <w:rPr>
          <w:rFonts w:hAnsi="宋体" w:cs="Arial"/>
          <w:sz w:val="24"/>
          <w:szCs w:val="24"/>
        </w:rPr>
      </w:pPr>
      <w:r>
        <w:rPr>
          <w:rFonts w:hint="eastAsia" w:hAnsi="宋体" w:cs="Arial"/>
          <w:sz w:val="24"/>
          <w:szCs w:val="24"/>
        </w:rPr>
        <w:t>19.2</w:t>
      </w:r>
      <w:r>
        <w:rPr>
          <w:rFonts w:hAnsi="宋体" w:cs="Arial"/>
          <w:sz w:val="24"/>
          <w:szCs w:val="24"/>
        </w:rPr>
        <w:t>评审标准和分值分配</w:t>
      </w:r>
      <w:r>
        <w:rPr>
          <w:rFonts w:hint="eastAsia" w:hAnsi="宋体" w:cs="Arial"/>
          <w:sz w:val="24"/>
          <w:szCs w:val="24"/>
        </w:rPr>
        <w:t>：</w:t>
      </w:r>
    </w:p>
    <w:p w14:paraId="175ACA39">
      <w:pPr>
        <w:pStyle w:val="13"/>
        <w:rPr>
          <w:rFonts w:hAnsi="宋体" w:cs="Arial"/>
          <w:sz w:val="24"/>
        </w:rPr>
      </w:pPr>
      <w:r>
        <w:rPr>
          <w:rFonts w:hint="eastAsia" w:ascii="宋体" w:hAnsi="宋体" w:cs="宋体"/>
          <w:sz w:val="24"/>
        </w:rPr>
        <w:t>评审标准</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747"/>
        <w:gridCol w:w="857"/>
        <w:gridCol w:w="7413"/>
      </w:tblGrid>
      <w:tr w14:paraId="721DF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692" w:type="dxa"/>
            <w:gridSpan w:val="2"/>
            <w:vAlign w:val="center"/>
          </w:tcPr>
          <w:p w14:paraId="21320AE7">
            <w:pPr>
              <w:autoSpaceDE w:val="0"/>
              <w:autoSpaceDN w:val="0"/>
              <w:snapToGrid w:val="0"/>
              <w:spacing w:before="89" w:line="300" w:lineRule="exact"/>
              <w:jc w:val="center"/>
              <w:rPr>
                <w:rFonts w:hAnsi="宋体" w:cs="Arial"/>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评分项</w:t>
            </w:r>
          </w:p>
        </w:tc>
        <w:tc>
          <w:tcPr>
            <w:tcW w:w="857" w:type="dxa"/>
            <w:vAlign w:val="center"/>
          </w:tcPr>
          <w:p w14:paraId="4D91F3A9">
            <w:pPr>
              <w:autoSpaceDE w:val="0"/>
              <w:autoSpaceDN w:val="0"/>
              <w:snapToGrid w:val="0"/>
              <w:spacing w:before="89" w:line="300" w:lineRule="exact"/>
              <w:jc w:val="center"/>
              <w:rPr>
                <w:rFonts w:hAnsi="宋体" w:cs="Arial"/>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分值</w:t>
            </w:r>
          </w:p>
        </w:tc>
        <w:tc>
          <w:tcPr>
            <w:tcW w:w="7413" w:type="dxa"/>
            <w:vAlign w:val="center"/>
          </w:tcPr>
          <w:p w14:paraId="2C286484">
            <w:pPr>
              <w:autoSpaceDE w:val="0"/>
              <w:autoSpaceDN w:val="0"/>
              <w:snapToGrid w:val="0"/>
              <w:spacing w:before="89" w:line="300" w:lineRule="exact"/>
              <w:jc w:val="center"/>
              <w:rPr>
                <w:rFonts w:hAnsi="宋体" w:cs="Arial"/>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评分标准</w:t>
            </w:r>
          </w:p>
        </w:tc>
      </w:tr>
      <w:tr w14:paraId="3216E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2" w:type="dxa"/>
            <w:gridSpan w:val="2"/>
            <w:vAlign w:val="center"/>
          </w:tcPr>
          <w:p w14:paraId="11149B6D">
            <w:pPr>
              <w:spacing w:line="360" w:lineRule="auto"/>
              <w:jc w:val="center"/>
              <w:rPr>
                <w:rFonts w:ascii="宋体" w:hAnsi="宋体" w:cs="宋体"/>
                <w:color w:val="000000" w:themeColor="text1"/>
                <w:sz w:val="24"/>
                <w:lang w:val="zh-CN"/>
                <w14:textFill>
                  <w14:solidFill>
                    <w14:schemeClr w14:val="tx1"/>
                  </w14:solidFill>
                </w14:textFill>
              </w:rPr>
            </w:pPr>
            <w:r>
              <w:rPr>
                <w:rFonts w:hint="eastAsia" w:ascii="宋体" w:hAnsi="宋体" w:cs="宋体"/>
                <w:color w:val="000000" w:themeColor="text1"/>
                <w:sz w:val="24"/>
                <w:lang w:val="zh-CN"/>
                <w14:textFill>
                  <w14:solidFill>
                    <w14:schemeClr w14:val="tx1"/>
                  </w14:solidFill>
                </w14:textFill>
              </w:rPr>
              <w:t>磋商报价</w:t>
            </w:r>
          </w:p>
          <w:p w14:paraId="0301670E">
            <w:pPr>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（10分）</w:t>
            </w:r>
          </w:p>
        </w:tc>
        <w:tc>
          <w:tcPr>
            <w:tcW w:w="857" w:type="dxa"/>
            <w:vAlign w:val="center"/>
          </w:tcPr>
          <w:p w14:paraId="5C965390">
            <w:pPr>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10分</w:t>
            </w:r>
          </w:p>
        </w:tc>
        <w:tc>
          <w:tcPr>
            <w:tcW w:w="7413" w:type="dxa"/>
            <w:vAlign w:val="center"/>
          </w:tcPr>
          <w:p w14:paraId="1D381460">
            <w:pPr>
              <w:spacing w:line="360" w:lineRule="auto"/>
              <w:ind w:firstLine="480" w:firstLineChars="200"/>
              <w:jc w:val="both"/>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磋商基准</w:t>
            </w:r>
            <w:r>
              <w:rPr>
                <w:rFonts w:hint="eastAsia" w:ascii="宋体" w:hAnsi="宋体" w:eastAsia="宋体" w:cs="宋体"/>
                <w:color w:val="000000" w:themeColor="text1"/>
                <w:sz w:val="24"/>
                <w:lang w:val="en-US" w:eastAsia="zh-CN"/>
                <w14:textFill>
                  <w14:solidFill>
                    <w14:schemeClr w14:val="tx1"/>
                  </w14:solidFill>
                </w14:textFill>
              </w:rPr>
              <w:t>价</w:t>
            </w:r>
            <w:r>
              <w:rPr>
                <w:rFonts w:hint="eastAsia" w:ascii="宋体" w:hAnsi="宋体" w:eastAsia="宋体" w:cs="宋体"/>
                <w:color w:val="000000" w:themeColor="text1"/>
                <w:sz w:val="24"/>
                <w14:textFill>
                  <w14:solidFill>
                    <w14:schemeClr w14:val="tx1"/>
                  </w14:solidFill>
                </w14:textFill>
              </w:rPr>
              <w:t>=满足磋商文件要求且最后磋商报价最低的供应商的价格为磋商基准价。</w:t>
            </w:r>
          </w:p>
          <w:p w14:paraId="4C5841C7">
            <w:pPr>
              <w:spacing w:line="360" w:lineRule="auto"/>
              <w:ind w:firstLine="480" w:firstLineChars="200"/>
              <w:jc w:val="both"/>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磋商报价得分=（磋商基准价/最后磋商报价）×价格权值（</w:t>
            </w:r>
            <w:r>
              <w:rPr>
                <w:rFonts w:hint="eastAsia" w:ascii="宋体" w:hAnsi="宋体" w:eastAsia="宋体" w:cs="宋体"/>
                <w:color w:val="000000" w:themeColor="text1"/>
                <w:sz w:val="24"/>
                <w:lang w:val="en-US" w:eastAsia="zh-CN"/>
                <w14:textFill>
                  <w14:solidFill>
                    <w14:schemeClr w14:val="tx1"/>
                  </w14:solidFill>
                </w14:textFill>
              </w:rPr>
              <w:t>10</w:t>
            </w:r>
            <w:r>
              <w:rPr>
                <w:rFonts w:hint="eastAsia" w:ascii="宋体" w:hAnsi="宋体" w:eastAsia="宋体" w:cs="宋体"/>
                <w:color w:val="000000" w:themeColor="text1"/>
                <w:sz w:val="24"/>
                <w14:textFill>
                  <w14:solidFill>
                    <w14:schemeClr w14:val="tx1"/>
                  </w14:solidFill>
                </w14:textFill>
              </w:rPr>
              <w:t xml:space="preserve"> %）×100（四舍五入后保留小数点后两位）。</w:t>
            </w:r>
          </w:p>
          <w:p w14:paraId="0A3DCB9E">
            <w:pPr>
              <w:spacing w:line="360" w:lineRule="auto"/>
              <w:ind w:firstLine="480" w:firstLineChars="200"/>
              <w:jc w:val="both"/>
              <w:rPr>
                <w:rFonts w:hint="eastAsia"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注：根据《政府采购促进中小企业发展管理办法》、《关于促进残疾人就业政府采购政策的通知》的相关规定，对残疾人福利性单位、监狱企业、小型和微型企业制造（生产）产品的价格给予10%的扣除，用扣除后的价格参与评审。（残疾人福利性单位属于监狱企业、小型、微型企业的，不重复享受政策。）</w:t>
            </w:r>
          </w:p>
        </w:tc>
      </w:tr>
      <w:tr w14:paraId="47E2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6" w:hRule="atLeast"/>
        </w:trPr>
        <w:tc>
          <w:tcPr>
            <w:tcW w:w="945" w:type="dxa"/>
            <w:vMerge w:val="restart"/>
            <w:vAlign w:val="center"/>
          </w:tcPr>
          <w:p w14:paraId="23B15AEA">
            <w:pPr>
              <w:autoSpaceDE w:val="0"/>
              <w:autoSpaceDN w:val="0"/>
              <w:snapToGrid w:val="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技术部分（</w:t>
            </w:r>
            <w:r>
              <w:rPr>
                <w:rFonts w:hint="eastAsia" w:ascii="宋体" w:hAnsi="宋体" w:cs="宋体"/>
                <w:color w:val="000000" w:themeColor="text1"/>
                <w:sz w:val="24"/>
                <w:lang w:val="en-US" w:eastAsia="zh-CN"/>
                <w14:textFill>
                  <w14:solidFill>
                    <w14:schemeClr w14:val="tx1"/>
                  </w14:solidFill>
                </w14:textFill>
              </w:rPr>
              <w:t>59分</w:t>
            </w:r>
            <w:r>
              <w:rPr>
                <w:rFonts w:hint="eastAsia" w:ascii="宋体" w:hAnsi="宋体" w:cs="宋体"/>
                <w:color w:val="000000" w:themeColor="text1"/>
                <w:sz w:val="24"/>
                <w14:textFill>
                  <w14:solidFill>
                    <w14:schemeClr w14:val="tx1"/>
                  </w14:solidFill>
                </w14:textFill>
              </w:rPr>
              <w:t>）</w:t>
            </w:r>
          </w:p>
        </w:tc>
        <w:tc>
          <w:tcPr>
            <w:tcW w:w="747" w:type="dxa"/>
            <w:vAlign w:val="center"/>
          </w:tcPr>
          <w:p w14:paraId="7C70664A">
            <w:pPr>
              <w:autoSpaceDE w:val="0"/>
              <w:autoSpaceDN w:val="0"/>
              <w:snapToGrid w:val="0"/>
              <w:spacing w:before="137" w:line="300" w:lineRule="exact"/>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hAnsi="宋体" w:cs="Arial"/>
                <w:color w:val="000000" w:themeColor="text1"/>
                <w:sz w:val="24"/>
                <w14:textFill>
                  <w14:solidFill>
                    <w14:schemeClr w14:val="tx1"/>
                  </w14:solidFill>
                </w14:textFill>
              </w:rPr>
              <w:t>服务方案</w:t>
            </w:r>
          </w:p>
        </w:tc>
        <w:tc>
          <w:tcPr>
            <w:tcW w:w="857" w:type="dxa"/>
            <w:vAlign w:val="center"/>
          </w:tcPr>
          <w:p w14:paraId="72A60AD1">
            <w:pPr>
              <w:autoSpaceDE w:val="0"/>
              <w:autoSpaceDN w:val="0"/>
              <w:snapToGrid w:val="0"/>
              <w:spacing w:before="137" w:line="300" w:lineRule="exact"/>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14:textFill>
                  <w14:solidFill>
                    <w14:schemeClr w14:val="tx1"/>
                  </w14:solidFill>
                </w14:textFill>
              </w:rPr>
              <w:t>分</w:t>
            </w:r>
          </w:p>
        </w:tc>
        <w:tc>
          <w:tcPr>
            <w:tcW w:w="7413" w:type="dxa"/>
            <w:vAlign w:val="center"/>
          </w:tcPr>
          <w:p w14:paraId="4771E723">
            <w:pPr>
              <w:spacing w:line="360" w:lineRule="auto"/>
              <w:ind w:firstLine="480" w:firstLineChars="200"/>
              <w:jc w:val="both"/>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根据本项目服务要求提供的服务方案进行综合评审，包括但不限于①服务与管理②</w:t>
            </w:r>
            <w:r>
              <w:rPr>
                <w:rFonts w:hint="eastAsia" w:ascii="宋体" w:hAnsi="宋体" w:cs="宋体"/>
                <w:color w:val="000000" w:themeColor="text1"/>
                <w:sz w:val="24"/>
                <w:lang w:val="en-US" w:eastAsia="zh-CN"/>
                <w14:textFill>
                  <w14:solidFill>
                    <w14:schemeClr w14:val="tx1"/>
                  </w14:solidFill>
                </w14:textFill>
              </w:rPr>
              <w:t>运营管理</w:t>
            </w:r>
            <w:r>
              <w:rPr>
                <w:rFonts w:hint="eastAsia" w:ascii="宋体" w:hAnsi="宋体" w:cs="宋体"/>
                <w:color w:val="000000" w:themeColor="text1"/>
                <w:sz w:val="24"/>
                <w14:textFill>
                  <w14:solidFill>
                    <w14:schemeClr w14:val="tx1"/>
                  </w14:solidFill>
                </w14:textFill>
              </w:rPr>
              <w:t>③</w:t>
            </w:r>
            <w:r>
              <w:rPr>
                <w:rFonts w:hint="eastAsia" w:ascii="宋体" w:hAnsi="宋体" w:cs="宋体"/>
                <w:color w:val="000000" w:themeColor="text1"/>
                <w:sz w:val="24"/>
                <w:lang w:val="en-US" w:eastAsia="zh-CN"/>
                <w14:textFill>
                  <w14:solidFill>
                    <w14:schemeClr w14:val="tx1"/>
                  </w14:solidFill>
                </w14:textFill>
              </w:rPr>
              <w:t>食品安全管理</w:t>
            </w:r>
            <w:r>
              <w:rPr>
                <w:rFonts w:hint="eastAsia" w:ascii="宋体" w:hAnsi="宋体" w:cs="宋体"/>
                <w:color w:val="000000" w:themeColor="text1"/>
                <w:sz w:val="24"/>
                <w14:textFill>
                  <w14:solidFill>
                    <w14:schemeClr w14:val="tx1"/>
                  </w14:solidFill>
                </w14:textFill>
              </w:rPr>
              <w:t>④环境卫生</w:t>
            </w:r>
            <w:r>
              <w:rPr>
                <w:rFonts w:hint="eastAsia" w:ascii="宋体" w:hAnsi="宋体" w:cs="宋体"/>
                <w:color w:val="000000" w:themeColor="text1"/>
                <w:sz w:val="24"/>
                <w:lang w:val="en-US" w:eastAsia="zh-CN"/>
                <w14:textFill>
                  <w14:solidFill>
                    <w14:schemeClr w14:val="tx1"/>
                  </w14:solidFill>
                </w14:textFill>
              </w:rPr>
              <w:t>管理⑤设备运行维护⑥加工操作及餐厨垃圾分类管理</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以上因素每实质性响应一项得</w:t>
            </w: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分，满分</w:t>
            </w:r>
            <w:r>
              <w:rPr>
                <w:rFonts w:hint="eastAsia" w:ascii="宋体" w:hAnsi="宋体" w:cs="宋体"/>
                <w:color w:val="000000" w:themeColor="text1"/>
                <w:sz w:val="24"/>
                <w:lang w:val="en-US" w:eastAsia="zh-CN"/>
                <w14:textFill>
                  <w14:solidFill>
                    <w14:schemeClr w14:val="tx1"/>
                  </w14:solidFill>
                </w14:textFill>
              </w:rPr>
              <w:t>30</w:t>
            </w:r>
            <w:r>
              <w:rPr>
                <w:rFonts w:hint="eastAsia" w:ascii="宋体" w:hAnsi="宋体" w:cs="宋体"/>
                <w:color w:val="000000" w:themeColor="text1"/>
                <w:sz w:val="24"/>
                <w14:textFill>
                  <w14:solidFill>
                    <w14:schemeClr w14:val="tx1"/>
                  </w14:solidFill>
                </w14:textFill>
              </w:rPr>
              <w:t>分，每有一项存在缺陷或不足的扣2分，未实质性响应或未提供不得分。</w:t>
            </w:r>
          </w:p>
        </w:tc>
      </w:tr>
      <w:tr w14:paraId="114EE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3" w:hRule="atLeast"/>
        </w:trPr>
        <w:tc>
          <w:tcPr>
            <w:tcW w:w="945" w:type="dxa"/>
            <w:vMerge w:val="continue"/>
            <w:vAlign w:val="center"/>
          </w:tcPr>
          <w:p w14:paraId="7BE095A5">
            <w:pPr>
              <w:autoSpaceDE w:val="0"/>
              <w:autoSpaceDN w:val="0"/>
              <w:snapToGrid w:val="0"/>
              <w:jc w:val="center"/>
              <w:rPr>
                <w:rFonts w:hint="eastAsia" w:ascii="宋体" w:hAnsi="宋体" w:cs="宋体"/>
                <w:color w:val="000000" w:themeColor="text1"/>
                <w:sz w:val="24"/>
                <w14:textFill>
                  <w14:solidFill>
                    <w14:schemeClr w14:val="tx1"/>
                  </w14:solidFill>
                </w14:textFill>
              </w:rPr>
            </w:pPr>
          </w:p>
        </w:tc>
        <w:tc>
          <w:tcPr>
            <w:tcW w:w="747" w:type="dxa"/>
            <w:vAlign w:val="center"/>
          </w:tcPr>
          <w:p w14:paraId="288AB65D">
            <w:pPr>
              <w:autoSpaceDE w:val="0"/>
              <w:autoSpaceDN w:val="0"/>
              <w:snapToGrid w:val="0"/>
              <w:spacing w:before="137" w:line="300" w:lineRule="exact"/>
              <w:jc w:val="center"/>
              <w:rPr>
                <w:rFonts w:hint="eastAsia" w:hAnsi="宋体" w:cs="Arial"/>
                <w:color w:val="000000" w:themeColor="text1"/>
                <w:sz w:val="24"/>
                <w14:textFill>
                  <w14:solidFill>
                    <w14:schemeClr w14:val="tx1"/>
                  </w14:solidFill>
                </w14:textFill>
              </w:rPr>
            </w:pPr>
            <w:r>
              <w:rPr>
                <w:rFonts w:hint="eastAsia" w:hAnsi="宋体" w:cs="Arial"/>
                <w:color w:val="000000" w:themeColor="text1"/>
                <w:sz w:val="24"/>
                <w14:textFill>
                  <w14:solidFill>
                    <w14:schemeClr w14:val="tx1"/>
                  </w14:solidFill>
                </w14:textFill>
              </w:rPr>
              <w:t>消防方案</w:t>
            </w:r>
          </w:p>
        </w:tc>
        <w:tc>
          <w:tcPr>
            <w:tcW w:w="857" w:type="dxa"/>
            <w:vAlign w:val="center"/>
          </w:tcPr>
          <w:p w14:paraId="1713EDD3">
            <w:pPr>
              <w:autoSpaceDE w:val="0"/>
              <w:autoSpaceDN w:val="0"/>
              <w:snapToGrid w:val="0"/>
              <w:spacing w:before="137" w:line="300" w:lineRule="exact"/>
              <w:jc w:val="center"/>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4分</w:t>
            </w:r>
          </w:p>
        </w:tc>
        <w:tc>
          <w:tcPr>
            <w:tcW w:w="7413" w:type="dxa"/>
            <w:vAlign w:val="center"/>
          </w:tcPr>
          <w:p w14:paraId="13989AD9">
            <w:pPr>
              <w:spacing w:line="360" w:lineRule="auto"/>
              <w:ind w:firstLine="480" w:firstLineChars="200"/>
              <w:jc w:val="both"/>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根据供应商提出的消防方案包括不限于①消防设施管理方案②消防安全检查制度③消防培训与演练计划④火灾应急处置预案等。以上内容每实质性响应一项得</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分，满分</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分。每有一项存在缺陷或不足的扣</w:t>
            </w:r>
            <w:r>
              <w:rPr>
                <w:rFonts w:hint="eastAsia" w:ascii="宋体" w:hAnsi="宋体" w:cs="宋体"/>
                <w:color w:val="000000" w:themeColor="text1"/>
                <w:sz w:val="24"/>
                <w:lang w:val="en-US" w:eastAsia="zh-CN"/>
                <w14:textFill>
                  <w14:solidFill>
                    <w14:schemeClr w14:val="tx1"/>
                  </w14:solidFill>
                </w14:textFill>
              </w:rPr>
              <w:t>0.5</w:t>
            </w:r>
            <w:r>
              <w:rPr>
                <w:rFonts w:hint="eastAsia" w:ascii="宋体" w:hAnsi="宋体" w:cs="宋体"/>
                <w:color w:val="000000" w:themeColor="text1"/>
                <w:sz w:val="24"/>
                <w14:textFill>
                  <w14:solidFill>
                    <w14:schemeClr w14:val="tx1"/>
                  </w14:solidFill>
                </w14:textFill>
              </w:rPr>
              <w:t>分，未实质性响应或未提供不得分。</w:t>
            </w:r>
          </w:p>
        </w:tc>
      </w:tr>
      <w:tr w14:paraId="5B6C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atLeast"/>
        </w:trPr>
        <w:tc>
          <w:tcPr>
            <w:tcW w:w="945" w:type="dxa"/>
            <w:vMerge w:val="continue"/>
          </w:tcPr>
          <w:p w14:paraId="22C0D837">
            <w:pPr>
              <w:autoSpaceDE w:val="0"/>
              <w:autoSpaceDN w:val="0"/>
              <w:snapToGrid w:val="0"/>
              <w:jc w:val="left"/>
              <w:rPr>
                <w:rFonts w:hAnsi="宋体" w:cs="Arial"/>
                <w:color w:val="000000" w:themeColor="text1"/>
                <w:sz w:val="24"/>
                <w14:textFill>
                  <w14:solidFill>
                    <w14:schemeClr w14:val="tx1"/>
                  </w14:solidFill>
                </w14:textFill>
              </w:rPr>
            </w:pPr>
          </w:p>
        </w:tc>
        <w:tc>
          <w:tcPr>
            <w:tcW w:w="747" w:type="dxa"/>
            <w:vAlign w:val="center"/>
          </w:tcPr>
          <w:p w14:paraId="7A833DD0">
            <w:pPr>
              <w:autoSpaceDE w:val="0"/>
              <w:autoSpaceDN w:val="0"/>
              <w:snapToGrid w:val="0"/>
              <w:spacing w:before="137" w:line="300" w:lineRule="exact"/>
              <w:jc w:val="center"/>
              <w:rPr>
                <w:rFonts w:hint="default" w:hAnsi="宋体" w:eastAsia="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应急方案</w:t>
            </w:r>
          </w:p>
        </w:tc>
        <w:tc>
          <w:tcPr>
            <w:tcW w:w="857" w:type="dxa"/>
            <w:vAlign w:val="center"/>
          </w:tcPr>
          <w:p w14:paraId="313BF5DE">
            <w:pPr>
              <w:pStyle w:val="29"/>
              <w:widowControl/>
              <w:spacing w:before="0" w:beforeAutospacing="0" w:after="0" w:afterAutospacing="0" w:line="360" w:lineRule="auto"/>
              <w:jc w:val="center"/>
              <w:rPr>
                <w:rFonts w:hint="default" w:hAnsi="宋体" w:eastAsia="宋体" w:cs="Arial"/>
                <w:color w:val="000000" w:themeColor="text1"/>
                <w:sz w:val="24"/>
                <w:lang w:val="en-US" w:eastAsia="zh-CN"/>
                <w14:textFill>
                  <w14:solidFill>
                    <w14:schemeClr w14:val="tx1"/>
                  </w14:solidFill>
                </w14:textFill>
              </w:rPr>
            </w:pPr>
            <w:r>
              <w:rPr>
                <w:rFonts w:hint="eastAsia" w:cs="Arial"/>
                <w:color w:val="000000" w:themeColor="text1"/>
                <w:sz w:val="24"/>
                <w:lang w:val="en-US" w:eastAsia="zh-CN"/>
                <w14:textFill>
                  <w14:solidFill>
                    <w14:schemeClr w14:val="tx1"/>
                  </w14:solidFill>
                </w14:textFill>
              </w:rPr>
              <w:t>3分</w:t>
            </w:r>
          </w:p>
        </w:tc>
        <w:tc>
          <w:tcPr>
            <w:tcW w:w="7413" w:type="dxa"/>
            <w:vAlign w:val="center"/>
          </w:tcPr>
          <w:p w14:paraId="3CF9A056">
            <w:pPr>
              <w:autoSpaceDE w:val="0"/>
              <w:autoSpaceDN w:val="0"/>
              <w:snapToGrid w:val="0"/>
              <w:spacing w:before="137" w:line="360" w:lineRule="auto"/>
              <w:ind w:firstLine="480" w:firstLineChars="200"/>
              <w:jc w:val="left"/>
              <w:rPr>
                <w:rFonts w:hint="eastAsia" w:hAnsi="宋体" w:cs="Arial"/>
                <w:color w:val="000000" w:themeColor="text1"/>
                <w:sz w:val="24"/>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供应商</w:t>
            </w:r>
            <w:r>
              <w:rPr>
                <w:rFonts w:hint="eastAsia" w:hAnsi="宋体" w:cs="Arial"/>
                <w:color w:val="000000" w:themeColor="text1"/>
                <w:sz w:val="24"/>
                <w14:textFill>
                  <w14:solidFill>
                    <w14:schemeClr w14:val="tx1"/>
                  </w14:solidFill>
                </w14:textFill>
              </w:rPr>
              <w:t>针对出现自然灾害等突发事件或有重大活动等应急任务时的突发紧急应对预案（包括应急作业人员的调配、设备和人员的配置方案及针对各类灾害和突发事件的应急预案等）及应急事件的处理流程等，</w:t>
            </w:r>
            <w:r>
              <w:rPr>
                <w:rFonts w:hint="eastAsia" w:hAnsi="宋体" w:cs="Arial"/>
                <w:color w:val="000000" w:themeColor="text1"/>
                <w:sz w:val="24"/>
                <w:lang w:val="en-US" w:eastAsia="zh-CN"/>
                <w14:textFill>
                  <w14:solidFill>
                    <w14:schemeClr w14:val="tx1"/>
                  </w14:solidFill>
                </w14:textFill>
              </w:rPr>
              <w:t>方案内容全面、处理措施切实可行、针对性强的</w:t>
            </w:r>
            <w:r>
              <w:rPr>
                <w:rFonts w:hint="eastAsia" w:hAnsi="宋体" w:cs="Arial"/>
                <w:color w:val="000000" w:themeColor="text1"/>
                <w:sz w:val="24"/>
                <w14:textFill>
                  <w14:solidFill>
                    <w14:schemeClr w14:val="tx1"/>
                  </w14:solidFill>
                </w14:textFill>
              </w:rPr>
              <w:t>得</w:t>
            </w:r>
            <w:r>
              <w:rPr>
                <w:rFonts w:hint="eastAsia" w:hAnsi="宋体" w:cs="Arial"/>
                <w:color w:val="000000" w:themeColor="text1"/>
                <w:sz w:val="24"/>
                <w:lang w:val="en-US" w:eastAsia="zh-CN"/>
                <w14:textFill>
                  <w14:solidFill>
                    <w14:schemeClr w14:val="tx1"/>
                  </w14:solidFill>
                </w14:textFill>
              </w:rPr>
              <w:t>3</w:t>
            </w:r>
            <w:r>
              <w:rPr>
                <w:rFonts w:hint="eastAsia" w:hAnsi="宋体" w:cs="Arial"/>
                <w:color w:val="000000" w:themeColor="text1"/>
                <w:sz w:val="24"/>
                <w14:textFill>
                  <w14:solidFill>
                    <w14:schemeClr w14:val="tx1"/>
                  </w14:solidFill>
                </w14:textFill>
              </w:rPr>
              <w:t>分；</w:t>
            </w:r>
            <w:r>
              <w:rPr>
                <w:rFonts w:hint="eastAsia" w:hAnsi="宋体" w:cs="Arial"/>
                <w:color w:val="000000" w:themeColor="text1"/>
                <w:sz w:val="24"/>
                <w:lang w:val="en-US" w:eastAsia="zh-CN"/>
                <w14:textFill>
                  <w14:solidFill>
                    <w14:schemeClr w14:val="tx1"/>
                  </w14:solidFill>
                </w14:textFill>
              </w:rPr>
              <w:t>预案内容基本全面、处理措施可行、针对性较强的得2；</w:t>
            </w:r>
            <w:r>
              <w:rPr>
                <w:rFonts w:hint="eastAsia" w:hAnsi="宋体" w:cs="Arial"/>
                <w:color w:val="000000" w:themeColor="text1"/>
                <w:sz w:val="24"/>
                <w14:textFill>
                  <w14:solidFill>
                    <w14:schemeClr w14:val="tx1"/>
                  </w14:solidFill>
                </w14:textFill>
              </w:rPr>
              <w:t>方案</w:t>
            </w:r>
            <w:r>
              <w:rPr>
                <w:rFonts w:hint="eastAsia" w:hAnsi="宋体" w:cs="Arial"/>
                <w:color w:val="000000" w:themeColor="text1"/>
                <w:sz w:val="24"/>
                <w:lang w:val="en-US" w:eastAsia="zh-CN"/>
                <w14:textFill>
                  <w14:solidFill>
                    <w14:schemeClr w14:val="tx1"/>
                  </w14:solidFill>
                </w14:textFill>
              </w:rPr>
              <w:t>较</w:t>
            </w:r>
            <w:r>
              <w:rPr>
                <w:rFonts w:hint="eastAsia" w:hAnsi="宋体" w:cs="Arial"/>
                <w:color w:val="000000" w:themeColor="text1"/>
                <w:sz w:val="24"/>
                <w14:textFill>
                  <w14:solidFill>
                    <w14:schemeClr w14:val="tx1"/>
                  </w14:solidFill>
                </w14:textFill>
              </w:rPr>
              <w:t>完整详细、合理，可操作性一般</w:t>
            </w:r>
            <w:r>
              <w:rPr>
                <w:rFonts w:hint="eastAsia" w:hAnsi="宋体" w:cs="Arial"/>
                <w:color w:val="000000" w:themeColor="text1"/>
                <w:sz w:val="24"/>
                <w:lang w:val="en-US" w:eastAsia="zh-CN"/>
                <w14:textFill>
                  <w14:solidFill>
                    <w14:schemeClr w14:val="tx1"/>
                  </w14:solidFill>
                </w14:textFill>
              </w:rPr>
              <w:t>的</w:t>
            </w:r>
            <w:r>
              <w:rPr>
                <w:rFonts w:hint="eastAsia" w:hAnsi="宋体" w:cs="Arial"/>
                <w:color w:val="000000" w:themeColor="text1"/>
                <w:sz w:val="24"/>
                <w14:textFill>
                  <w14:solidFill>
                    <w14:schemeClr w14:val="tx1"/>
                  </w14:solidFill>
                </w14:textFill>
              </w:rPr>
              <w:t>得</w:t>
            </w:r>
            <w:r>
              <w:rPr>
                <w:rFonts w:hint="eastAsia" w:hAnsi="宋体" w:cs="Arial"/>
                <w:color w:val="000000" w:themeColor="text1"/>
                <w:sz w:val="24"/>
                <w:lang w:val="en-US" w:eastAsia="zh-CN"/>
                <w14:textFill>
                  <w14:solidFill>
                    <w14:schemeClr w14:val="tx1"/>
                  </w14:solidFill>
                </w14:textFill>
              </w:rPr>
              <w:t>1</w:t>
            </w:r>
            <w:r>
              <w:rPr>
                <w:rFonts w:hint="eastAsia" w:hAnsi="宋体" w:cs="Arial"/>
                <w:color w:val="000000" w:themeColor="text1"/>
                <w:sz w:val="24"/>
                <w14:textFill>
                  <w14:solidFill>
                    <w14:schemeClr w14:val="tx1"/>
                  </w14:solidFill>
                </w14:textFill>
              </w:rPr>
              <w:t>分</w:t>
            </w:r>
            <w:r>
              <w:rPr>
                <w:rFonts w:hint="eastAsia" w:hAnsi="宋体" w:cs="Arial"/>
                <w:color w:val="000000" w:themeColor="text1"/>
                <w:sz w:val="24"/>
                <w:lang w:eastAsia="zh-CN"/>
                <w14:textFill>
                  <w14:solidFill>
                    <w14:schemeClr w14:val="tx1"/>
                  </w14:solidFill>
                </w14:textFill>
              </w:rPr>
              <w:t>；</w:t>
            </w:r>
            <w:r>
              <w:rPr>
                <w:rFonts w:hint="eastAsia" w:hAnsi="宋体" w:cs="Arial"/>
                <w:color w:val="000000" w:themeColor="text1"/>
                <w:sz w:val="24"/>
                <w:lang w:val="en-US" w:eastAsia="zh-CN"/>
                <w14:textFill>
                  <w14:solidFill>
                    <w14:schemeClr w14:val="tx1"/>
                  </w14:solidFill>
                </w14:textFill>
              </w:rPr>
              <w:t>难以满足项目要求，</w:t>
            </w:r>
            <w:r>
              <w:rPr>
                <w:rFonts w:hint="eastAsia" w:hAnsi="宋体" w:cs="Arial"/>
                <w:color w:val="000000" w:themeColor="text1"/>
                <w:sz w:val="24"/>
                <w14:textFill>
                  <w14:solidFill>
                    <w14:schemeClr w14:val="tx1"/>
                  </w14:solidFill>
                </w14:textFill>
              </w:rPr>
              <w:t>方案内容描述完全模糊的和未提供的不得分。</w:t>
            </w:r>
          </w:p>
        </w:tc>
      </w:tr>
      <w:tr w14:paraId="69682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45" w:type="dxa"/>
            <w:vMerge w:val="continue"/>
          </w:tcPr>
          <w:p w14:paraId="4CB1A68B">
            <w:pPr>
              <w:autoSpaceDE w:val="0"/>
              <w:autoSpaceDN w:val="0"/>
              <w:snapToGrid w:val="0"/>
              <w:jc w:val="left"/>
              <w:rPr>
                <w:rFonts w:hAnsi="宋体" w:cs="Arial"/>
                <w:color w:val="000000" w:themeColor="text1"/>
                <w:sz w:val="24"/>
                <w14:textFill>
                  <w14:solidFill>
                    <w14:schemeClr w14:val="tx1"/>
                  </w14:solidFill>
                </w14:textFill>
              </w:rPr>
            </w:pPr>
          </w:p>
        </w:tc>
        <w:tc>
          <w:tcPr>
            <w:tcW w:w="747" w:type="dxa"/>
            <w:vAlign w:val="center"/>
          </w:tcPr>
          <w:p w14:paraId="23CE2DCC">
            <w:pPr>
              <w:autoSpaceDE w:val="0"/>
              <w:autoSpaceDN w:val="0"/>
              <w:snapToGrid w:val="0"/>
              <w:spacing w:before="137" w:line="300" w:lineRule="exact"/>
              <w:jc w:val="center"/>
              <w:rPr>
                <w:rFonts w:hint="eastAsia" w:hAnsi="宋体" w:cs="Arial"/>
                <w:color w:val="000000" w:themeColor="text1"/>
                <w:sz w:val="24"/>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t>食品安全保证制度及措施</w:t>
            </w:r>
          </w:p>
        </w:tc>
        <w:tc>
          <w:tcPr>
            <w:tcW w:w="857" w:type="dxa"/>
            <w:vAlign w:val="center"/>
          </w:tcPr>
          <w:p w14:paraId="673F9AB2">
            <w:pPr>
              <w:autoSpaceDE w:val="0"/>
              <w:autoSpaceDN w:val="0"/>
              <w:snapToGrid w:val="0"/>
              <w:spacing w:before="137" w:line="300" w:lineRule="exact"/>
              <w:jc w:val="center"/>
              <w:rPr>
                <w:rFonts w:hint="eastAsia" w:cs="宋体"/>
                <w:color w:val="000000" w:themeColor="text1"/>
                <w:kern w:val="0"/>
                <w:sz w:val="24"/>
                <w:lang w:val="en-US" w:eastAsia="zh-CN"/>
                <w14:textFill>
                  <w14:solidFill>
                    <w14:schemeClr w14:val="tx1"/>
                  </w14:solidFill>
                </w14:textFill>
              </w:rPr>
            </w:pPr>
            <w:r>
              <w:rPr>
                <w:rFonts w:hint="eastAsia" w:cs="宋体"/>
                <w:color w:val="000000" w:themeColor="text1"/>
                <w:kern w:val="0"/>
                <w:sz w:val="24"/>
                <w:lang w:val="en-US" w:eastAsia="zh-CN"/>
                <w14:textFill>
                  <w14:solidFill>
                    <w14:schemeClr w14:val="tx1"/>
                  </w14:solidFill>
                </w14:textFill>
              </w:rPr>
              <w:t>12分</w:t>
            </w:r>
          </w:p>
        </w:tc>
        <w:tc>
          <w:tcPr>
            <w:tcW w:w="7413" w:type="dxa"/>
            <w:vAlign w:val="top"/>
          </w:tcPr>
          <w:p w14:paraId="3B54AFC3">
            <w:pPr>
              <w:autoSpaceDE w:val="0"/>
              <w:autoSpaceDN w:val="0"/>
              <w:snapToGrid w:val="0"/>
              <w:spacing w:before="137" w:line="360" w:lineRule="auto"/>
              <w:ind w:firstLine="480" w:firstLineChars="200"/>
              <w:rPr>
                <w:rFonts w:hint="eastAsia" w:hAnsi="宋体" w:cs="Arial"/>
                <w:color w:val="000000" w:themeColor="text1"/>
                <w:sz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bidi="ar-SA"/>
                <w14:textFill>
                  <w14:solidFill>
                    <w14:schemeClr w14:val="tx1"/>
                  </w14:solidFill>
                </w14:textFill>
              </w:rPr>
              <w:t>供应商根据提供的食品质量保证措施、食品安全保证措施方案、制度等进行综合评审，包括但不限于：①食品质量保证措施、制度；②食品安全保证措施、制度；③问题食品处理措施、制度；</w:t>
            </w:r>
            <w:r>
              <w:rPr>
                <w:rFonts w:hint="eastAsia" w:hAnsi="宋体" w:cs="Arial"/>
                <w:color w:val="000000" w:themeColor="text1"/>
                <w:sz w:val="24"/>
                <w14:textFill>
                  <w14:solidFill>
                    <w14:schemeClr w14:val="tx1"/>
                  </w14:solidFill>
                </w14:textFill>
              </w:rPr>
              <w:t>以上因素每实质性响应一项得</w:t>
            </w:r>
            <w:r>
              <w:rPr>
                <w:rFonts w:hint="eastAsia" w:hAnsi="宋体" w:cs="Arial"/>
                <w:color w:val="000000" w:themeColor="text1"/>
                <w:sz w:val="24"/>
                <w:lang w:val="en-US" w:eastAsia="zh-CN"/>
                <w14:textFill>
                  <w14:solidFill>
                    <w14:schemeClr w14:val="tx1"/>
                  </w14:solidFill>
                </w14:textFill>
              </w:rPr>
              <w:t>4</w:t>
            </w:r>
            <w:r>
              <w:rPr>
                <w:rFonts w:hint="eastAsia" w:hAnsi="宋体" w:cs="Arial"/>
                <w:color w:val="000000" w:themeColor="text1"/>
                <w:sz w:val="24"/>
                <w14:textFill>
                  <w14:solidFill>
                    <w14:schemeClr w14:val="tx1"/>
                  </w14:solidFill>
                </w14:textFill>
              </w:rPr>
              <w:t>分，满分</w:t>
            </w:r>
            <w:r>
              <w:rPr>
                <w:rFonts w:hint="eastAsia" w:hAnsi="宋体" w:cs="Arial"/>
                <w:color w:val="000000" w:themeColor="text1"/>
                <w:sz w:val="24"/>
                <w:lang w:val="en-US" w:eastAsia="zh-CN"/>
                <w14:textFill>
                  <w14:solidFill>
                    <w14:schemeClr w14:val="tx1"/>
                  </w14:solidFill>
                </w14:textFill>
              </w:rPr>
              <w:t>12</w:t>
            </w:r>
            <w:r>
              <w:rPr>
                <w:rFonts w:hint="eastAsia" w:hAnsi="宋体" w:cs="Arial"/>
                <w:color w:val="000000" w:themeColor="text1"/>
                <w:sz w:val="24"/>
                <w14:textFill>
                  <w14:solidFill>
                    <w14:schemeClr w14:val="tx1"/>
                  </w14:solidFill>
                </w14:textFill>
              </w:rPr>
              <w:t>分，每有一项存在缺陷或不足的扣</w:t>
            </w:r>
            <w:r>
              <w:rPr>
                <w:rFonts w:hint="eastAsia" w:hAnsi="宋体" w:cs="Arial"/>
                <w:color w:val="000000" w:themeColor="text1"/>
                <w:sz w:val="24"/>
                <w:lang w:val="en-US" w:eastAsia="zh-CN"/>
                <w14:textFill>
                  <w14:solidFill>
                    <w14:schemeClr w14:val="tx1"/>
                  </w14:solidFill>
                </w14:textFill>
              </w:rPr>
              <w:t>2</w:t>
            </w:r>
            <w:r>
              <w:rPr>
                <w:rFonts w:hint="eastAsia" w:hAnsi="宋体" w:cs="Arial"/>
                <w:color w:val="000000" w:themeColor="text1"/>
                <w:sz w:val="24"/>
                <w14:textFill>
                  <w14:solidFill>
                    <w14:schemeClr w14:val="tx1"/>
                  </w14:solidFill>
                </w14:textFill>
              </w:rPr>
              <w:t>分，未实质性响应或未提供不得分。</w:t>
            </w:r>
          </w:p>
        </w:tc>
      </w:tr>
      <w:tr w14:paraId="1703F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45" w:type="dxa"/>
            <w:vMerge w:val="continue"/>
          </w:tcPr>
          <w:p w14:paraId="161881B7">
            <w:pPr>
              <w:autoSpaceDE w:val="0"/>
              <w:autoSpaceDN w:val="0"/>
              <w:snapToGrid w:val="0"/>
              <w:jc w:val="left"/>
              <w:rPr>
                <w:rFonts w:hAnsi="宋体" w:cs="Arial"/>
                <w:color w:val="000000" w:themeColor="text1"/>
                <w:sz w:val="24"/>
                <w14:textFill>
                  <w14:solidFill>
                    <w14:schemeClr w14:val="tx1"/>
                  </w14:solidFill>
                </w14:textFill>
              </w:rPr>
            </w:pPr>
          </w:p>
        </w:tc>
        <w:tc>
          <w:tcPr>
            <w:tcW w:w="747" w:type="dxa"/>
            <w:vAlign w:val="center"/>
          </w:tcPr>
          <w:p w14:paraId="6516AE46">
            <w:pPr>
              <w:autoSpaceDE w:val="0"/>
              <w:autoSpaceDN w:val="0"/>
              <w:snapToGrid w:val="0"/>
              <w:spacing w:before="137" w:line="300" w:lineRule="exact"/>
              <w:jc w:val="center"/>
              <w:rPr>
                <w:rFonts w:hint="default" w:hAnsi="宋体" w:eastAsia="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服务承诺</w:t>
            </w:r>
          </w:p>
        </w:tc>
        <w:tc>
          <w:tcPr>
            <w:tcW w:w="857" w:type="dxa"/>
            <w:vAlign w:val="center"/>
          </w:tcPr>
          <w:p w14:paraId="65BEDA8C">
            <w:pPr>
              <w:autoSpaceDE w:val="0"/>
              <w:autoSpaceDN w:val="0"/>
              <w:snapToGrid w:val="0"/>
              <w:spacing w:before="137" w:line="300" w:lineRule="exact"/>
              <w:jc w:val="center"/>
              <w:rPr>
                <w:rFonts w:hint="default" w:eastAsia="宋体" w:cs="宋体"/>
                <w:color w:val="000000" w:themeColor="text1"/>
                <w:kern w:val="0"/>
                <w:sz w:val="24"/>
                <w:lang w:val="en-US" w:eastAsia="zh-CN"/>
                <w14:textFill>
                  <w14:solidFill>
                    <w14:schemeClr w14:val="tx1"/>
                  </w14:solidFill>
                </w14:textFill>
              </w:rPr>
            </w:pPr>
            <w:r>
              <w:rPr>
                <w:rFonts w:hint="eastAsia" w:cs="宋体"/>
                <w:color w:val="000000" w:themeColor="text1"/>
                <w:kern w:val="0"/>
                <w:sz w:val="24"/>
                <w:lang w:val="en-US" w:eastAsia="zh-CN"/>
                <w14:textFill>
                  <w14:solidFill>
                    <w14:schemeClr w14:val="tx1"/>
                  </w14:solidFill>
                </w14:textFill>
              </w:rPr>
              <w:t>6分</w:t>
            </w:r>
          </w:p>
        </w:tc>
        <w:tc>
          <w:tcPr>
            <w:tcW w:w="7413" w:type="dxa"/>
          </w:tcPr>
          <w:p w14:paraId="1C7E84BF">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根据供应商服务承诺书，包括但不限于：①按国家法律法规开展各项服务及经营的承诺②磋商文件中规定的相关服务内容的承诺③服务态度、服务效率、服务质量承诺④设施设备管理的承诺⑤按《劳动法》管理员工的承诺⑥对安全管理及责任事故的处理承诺。以上内容每实质性响应一项得1分，满分6分。</w:t>
            </w:r>
            <w:r>
              <w:rPr>
                <w:rFonts w:hint="eastAsia" w:hAnsi="宋体" w:cs="Arial"/>
                <w:color w:val="000000" w:themeColor="text1"/>
                <w:sz w:val="24"/>
                <w14:textFill>
                  <w14:solidFill>
                    <w14:schemeClr w14:val="tx1"/>
                  </w14:solidFill>
                </w14:textFill>
              </w:rPr>
              <w:t>每有一项存在缺陷或不足的扣</w:t>
            </w:r>
            <w:r>
              <w:rPr>
                <w:rFonts w:hint="eastAsia" w:hAnsi="宋体" w:cs="Arial"/>
                <w:color w:val="000000" w:themeColor="text1"/>
                <w:sz w:val="24"/>
                <w:lang w:val="en-US" w:eastAsia="zh-CN"/>
                <w14:textFill>
                  <w14:solidFill>
                    <w14:schemeClr w14:val="tx1"/>
                  </w14:solidFill>
                </w14:textFill>
              </w:rPr>
              <w:t>0.5</w:t>
            </w:r>
            <w:r>
              <w:rPr>
                <w:rFonts w:hint="eastAsia" w:hAnsi="宋体" w:cs="Arial"/>
                <w:color w:val="000000" w:themeColor="text1"/>
                <w:sz w:val="24"/>
                <w14:textFill>
                  <w14:solidFill>
                    <w14:schemeClr w14:val="tx1"/>
                  </w14:solidFill>
                </w14:textFill>
              </w:rPr>
              <w:t>分，</w:t>
            </w:r>
            <w:r>
              <w:rPr>
                <w:rFonts w:hint="eastAsia" w:hAnsi="宋体" w:cs="Arial"/>
                <w:color w:val="000000" w:themeColor="text1"/>
                <w:sz w:val="24"/>
                <w:lang w:val="en-US" w:eastAsia="zh-CN"/>
                <w14:textFill>
                  <w14:solidFill>
                    <w14:schemeClr w14:val="tx1"/>
                  </w14:solidFill>
                </w14:textFill>
              </w:rPr>
              <w:t>未实</w:t>
            </w:r>
            <w:bookmarkStart w:id="465" w:name="_GoBack"/>
            <w:bookmarkEnd w:id="465"/>
            <w:r>
              <w:rPr>
                <w:rFonts w:hint="eastAsia" w:hAnsi="宋体" w:cs="Arial"/>
                <w:color w:val="000000" w:themeColor="text1"/>
                <w:sz w:val="24"/>
                <w:lang w:val="en-US" w:eastAsia="zh-CN"/>
                <w14:textFill>
                  <w14:solidFill>
                    <w14:schemeClr w14:val="tx1"/>
                  </w14:solidFill>
                </w14:textFill>
              </w:rPr>
              <w:t>质性响应或未提供不得分。</w:t>
            </w:r>
          </w:p>
        </w:tc>
      </w:tr>
      <w:tr w14:paraId="75E1B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45" w:type="dxa"/>
            <w:vMerge w:val="continue"/>
            <w:vAlign w:val="center"/>
          </w:tcPr>
          <w:p w14:paraId="0F997498">
            <w:pPr>
              <w:autoSpaceDE w:val="0"/>
              <w:autoSpaceDN w:val="0"/>
              <w:snapToGrid w:val="0"/>
              <w:jc w:val="center"/>
              <w:rPr>
                <w:rFonts w:hAnsi="宋体" w:cs="Arial"/>
                <w:color w:val="000000" w:themeColor="text1"/>
                <w:sz w:val="24"/>
                <w14:textFill>
                  <w14:solidFill>
                    <w14:schemeClr w14:val="tx1"/>
                  </w14:solidFill>
                </w14:textFill>
              </w:rPr>
            </w:pPr>
          </w:p>
        </w:tc>
        <w:tc>
          <w:tcPr>
            <w:tcW w:w="747" w:type="dxa"/>
            <w:vAlign w:val="center"/>
          </w:tcPr>
          <w:p w14:paraId="518243AC">
            <w:pPr>
              <w:autoSpaceDE w:val="0"/>
              <w:autoSpaceDN w:val="0"/>
              <w:snapToGrid w:val="0"/>
              <w:spacing w:before="137" w:line="300" w:lineRule="exact"/>
              <w:jc w:val="center"/>
              <w:rPr>
                <w:rFonts w:hAnsi="宋体" w:cs="Arial"/>
                <w:color w:val="000000" w:themeColor="text1"/>
                <w:sz w:val="24"/>
                <w14:textFill>
                  <w14:solidFill>
                    <w14:schemeClr w14:val="tx1"/>
                  </w14:solidFill>
                </w14:textFill>
              </w:rPr>
            </w:pPr>
            <w:r>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t>物资装备计划</w:t>
            </w:r>
          </w:p>
        </w:tc>
        <w:tc>
          <w:tcPr>
            <w:tcW w:w="857" w:type="dxa"/>
            <w:vAlign w:val="center"/>
          </w:tcPr>
          <w:p w14:paraId="286C70FC">
            <w:pPr>
              <w:autoSpaceDE w:val="0"/>
              <w:autoSpaceDN w:val="0"/>
              <w:snapToGrid w:val="0"/>
              <w:spacing w:before="137" w:line="300" w:lineRule="exact"/>
              <w:jc w:val="center"/>
              <w:rPr>
                <w:rFonts w:hint="default" w:hAnsi="宋体" w:eastAsia="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4分</w:t>
            </w:r>
          </w:p>
        </w:tc>
        <w:tc>
          <w:tcPr>
            <w:tcW w:w="7413" w:type="dxa"/>
          </w:tcPr>
          <w:p w14:paraId="10F696EF">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供应商针对本项目需求提供完整物资配备计划包含：①厨具②员工服装③易耗品④清洁用品。以上内容每实质性响应一项得1分，共计4分。</w:t>
            </w:r>
            <w:r>
              <w:rPr>
                <w:rFonts w:hint="eastAsia" w:hAnsi="宋体" w:cs="Arial"/>
                <w:color w:val="000000" w:themeColor="text1"/>
                <w:sz w:val="24"/>
                <w14:textFill>
                  <w14:solidFill>
                    <w14:schemeClr w14:val="tx1"/>
                  </w14:solidFill>
                </w14:textFill>
              </w:rPr>
              <w:t>每有一项存在缺陷或不足的扣</w:t>
            </w:r>
            <w:r>
              <w:rPr>
                <w:rFonts w:hint="eastAsia" w:hAnsi="宋体" w:cs="Arial"/>
                <w:color w:val="000000" w:themeColor="text1"/>
                <w:sz w:val="24"/>
                <w:lang w:val="en-US" w:eastAsia="zh-CN"/>
                <w14:textFill>
                  <w14:solidFill>
                    <w14:schemeClr w14:val="tx1"/>
                  </w14:solidFill>
                </w14:textFill>
              </w:rPr>
              <w:t>0.5</w:t>
            </w:r>
            <w:r>
              <w:rPr>
                <w:rFonts w:hint="eastAsia" w:hAnsi="宋体" w:cs="Arial"/>
                <w:color w:val="000000" w:themeColor="text1"/>
                <w:sz w:val="24"/>
                <w14:textFill>
                  <w14:solidFill>
                    <w14:schemeClr w14:val="tx1"/>
                  </w14:solidFill>
                </w14:textFill>
              </w:rPr>
              <w:t>分，</w:t>
            </w:r>
            <w:r>
              <w:rPr>
                <w:rFonts w:hint="eastAsia" w:hAnsi="宋体" w:cs="Arial"/>
                <w:color w:val="000000" w:themeColor="text1"/>
                <w:sz w:val="24"/>
                <w:lang w:val="en-US" w:eastAsia="zh-CN"/>
                <w14:textFill>
                  <w14:solidFill>
                    <w14:schemeClr w14:val="tx1"/>
                  </w14:solidFill>
                </w14:textFill>
              </w:rPr>
              <w:t>未实质性响应或不提供不得分。</w:t>
            </w:r>
          </w:p>
        </w:tc>
      </w:tr>
      <w:tr w14:paraId="5419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trPr>
        <w:tc>
          <w:tcPr>
            <w:tcW w:w="9962" w:type="dxa"/>
            <w:gridSpan w:val="4"/>
            <w:vAlign w:val="center"/>
          </w:tcPr>
          <w:p w14:paraId="42C6D47F">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ascii="宋体" w:hAnsi="Courier New" w:eastAsia="宋体" w:cs="Times New Roman"/>
                <w:color w:val="auto"/>
                <w:kern w:val="2"/>
                <w:sz w:val="24"/>
                <w:szCs w:val="24"/>
                <w:lang w:val="en-US" w:eastAsia="zh-CN" w:bidi="ar-SA"/>
              </w:rPr>
              <w:t>缺陷是指：存在项目名称错误、地点区域错误、内容与本项目需求无关、方案内容矛盾或表述前后不一致、仅有框架或标题、适用的标准（方法）错误、明显复制其他项目内容等情况的任意一种情形。</w:t>
            </w:r>
          </w:p>
        </w:tc>
      </w:tr>
      <w:tr w14:paraId="71BF2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945" w:type="dxa"/>
            <w:vMerge w:val="restart"/>
            <w:vAlign w:val="center"/>
          </w:tcPr>
          <w:p w14:paraId="5E1EEB17">
            <w:pPr>
              <w:autoSpaceDE w:val="0"/>
              <w:autoSpaceDN w:val="0"/>
              <w:snapToGrid w:val="0"/>
              <w:jc w:val="center"/>
              <w:rPr>
                <w:rFonts w:hAnsi="宋体" w:cs="Arial"/>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商务部分（</w:t>
            </w:r>
            <w:r>
              <w:rPr>
                <w:rFonts w:hint="eastAsia" w:ascii="宋体" w:hAnsi="宋体" w:cs="宋体"/>
                <w:color w:val="000000" w:themeColor="text1"/>
                <w:sz w:val="24"/>
                <w:lang w:val="en-US" w:eastAsia="zh-CN"/>
                <w14:textFill>
                  <w14:solidFill>
                    <w14:schemeClr w14:val="tx1"/>
                  </w14:solidFill>
                </w14:textFill>
              </w:rPr>
              <w:t>31分</w:t>
            </w:r>
            <w:r>
              <w:rPr>
                <w:rFonts w:hint="eastAsia" w:ascii="宋体" w:hAnsi="宋体" w:cs="宋体"/>
                <w:color w:val="000000" w:themeColor="text1"/>
                <w:sz w:val="24"/>
                <w14:textFill>
                  <w14:solidFill>
                    <w14:schemeClr w14:val="tx1"/>
                  </w14:solidFill>
                </w14:textFill>
              </w:rPr>
              <w:t>）</w:t>
            </w:r>
          </w:p>
        </w:tc>
        <w:tc>
          <w:tcPr>
            <w:tcW w:w="747" w:type="dxa"/>
            <w:vAlign w:val="center"/>
          </w:tcPr>
          <w:p w14:paraId="39363583">
            <w:pPr>
              <w:autoSpaceDE w:val="0"/>
              <w:autoSpaceDN w:val="0"/>
              <w:snapToGrid w:val="0"/>
              <w:spacing w:before="137" w:line="300" w:lineRule="exact"/>
              <w:jc w:val="center"/>
              <w:rPr>
                <w:rFonts w:hAnsi="宋体" w:cs="Arial"/>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业绩</w:t>
            </w:r>
          </w:p>
        </w:tc>
        <w:tc>
          <w:tcPr>
            <w:tcW w:w="857" w:type="dxa"/>
            <w:vAlign w:val="center"/>
          </w:tcPr>
          <w:p w14:paraId="51B06AE0">
            <w:pPr>
              <w:autoSpaceDE w:val="0"/>
              <w:autoSpaceDN w:val="0"/>
              <w:snapToGrid w:val="0"/>
              <w:spacing w:before="137" w:line="300" w:lineRule="exact"/>
              <w:jc w:val="center"/>
              <w:rPr>
                <w:rFonts w:hAnsi="宋体" w:cs="Arial"/>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10</w:t>
            </w:r>
            <w:r>
              <w:rPr>
                <w:rFonts w:hint="eastAsia" w:ascii="宋体" w:hAnsi="宋体" w:cs="宋体"/>
                <w:color w:val="000000" w:themeColor="text1"/>
                <w:sz w:val="24"/>
                <w14:textFill>
                  <w14:solidFill>
                    <w14:schemeClr w14:val="tx1"/>
                  </w14:solidFill>
                </w14:textFill>
              </w:rPr>
              <w:t>分</w:t>
            </w:r>
          </w:p>
        </w:tc>
        <w:tc>
          <w:tcPr>
            <w:tcW w:w="7413" w:type="dxa"/>
            <w:vAlign w:val="top"/>
          </w:tcPr>
          <w:p w14:paraId="212420FD">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提供近三年（2022年1月1日至今）以来类似业绩证明材料，每提供1项得2分，最高得10分，不提供不得分。</w:t>
            </w:r>
          </w:p>
          <w:p w14:paraId="132C7B36">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注：需提供中标通知书或合同，合同包含合同首页，标的及金额所在页、签字盖章页。</w:t>
            </w:r>
          </w:p>
        </w:tc>
      </w:tr>
      <w:tr w14:paraId="06B21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45" w:type="dxa"/>
            <w:vMerge w:val="continue"/>
            <w:vAlign w:val="center"/>
          </w:tcPr>
          <w:p w14:paraId="3F87C892">
            <w:pPr>
              <w:autoSpaceDE w:val="0"/>
              <w:autoSpaceDN w:val="0"/>
              <w:snapToGrid w:val="0"/>
              <w:jc w:val="center"/>
              <w:rPr>
                <w:rFonts w:hint="eastAsia" w:ascii="宋体" w:hAnsi="宋体" w:cs="宋体"/>
                <w:color w:val="000000" w:themeColor="text1"/>
                <w:sz w:val="24"/>
                <w14:textFill>
                  <w14:solidFill>
                    <w14:schemeClr w14:val="tx1"/>
                  </w14:solidFill>
                </w14:textFill>
              </w:rPr>
            </w:pPr>
          </w:p>
        </w:tc>
        <w:tc>
          <w:tcPr>
            <w:tcW w:w="747" w:type="dxa"/>
            <w:vAlign w:val="center"/>
          </w:tcPr>
          <w:p w14:paraId="5022ECC8">
            <w:pPr>
              <w:autoSpaceDE w:val="0"/>
              <w:autoSpaceDN w:val="0"/>
              <w:snapToGrid w:val="0"/>
              <w:spacing w:before="137" w:line="300" w:lineRule="exact"/>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服务团队</w:t>
            </w:r>
          </w:p>
        </w:tc>
        <w:tc>
          <w:tcPr>
            <w:tcW w:w="857" w:type="dxa"/>
            <w:vAlign w:val="center"/>
          </w:tcPr>
          <w:p w14:paraId="00F5AC1E">
            <w:pPr>
              <w:autoSpaceDE w:val="0"/>
              <w:autoSpaceDN w:val="0"/>
              <w:snapToGrid w:val="0"/>
              <w:spacing w:before="137" w:line="300" w:lineRule="exact"/>
              <w:jc w:val="center"/>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21分</w:t>
            </w:r>
          </w:p>
        </w:tc>
        <w:tc>
          <w:tcPr>
            <w:tcW w:w="7413" w:type="dxa"/>
            <w:vAlign w:val="top"/>
          </w:tcPr>
          <w:p w14:paraId="7AB234A2">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（1）服务团队主要岗位每配备一个烹饪行业高级职业资格证书的得3分；每配备一个烹饪行业中级职业资格证书的得2分；每配备一个烹饪行业初级职业资格证书的得1分，满分6分。</w:t>
            </w:r>
          </w:p>
          <w:p w14:paraId="31373C12">
            <w:pPr>
              <w:autoSpaceDE w:val="0"/>
              <w:autoSpaceDN w:val="0"/>
              <w:snapToGrid w:val="0"/>
              <w:spacing w:before="137" w:line="360" w:lineRule="auto"/>
              <w:ind w:firstLine="480" w:firstLineChars="200"/>
              <w:jc w:val="left"/>
              <w:rPr>
                <w:rFonts w:hint="default"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注：提供身份证、资格证、劳动合同。不提供不得分。</w:t>
            </w:r>
          </w:p>
          <w:p w14:paraId="58B8DF80">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（2）根据配置人员的力量，人员结构合理性，年龄等进行综合评定。 每配备一名符合岗位要求的服务人员（包括但不限于营养师、餐具清洗人员、备餐人员、保洁人员等)的得1.5分，最高得15分。</w:t>
            </w:r>
          </w:p>
          <w:p w14:paraId="5C8742AE">
            <w:pPr>
              <w:autoSpaceDE w:val="0"/>
              <w:autoSpaceDN w:val="0"/>
              <w:snapToGrid w:val="0"/>
              <w:spacing w:before="137" w:line="360" w:lineRule="auto"/>
              <w:ind w:firstLine="480" w:firstLineChars="200"/>
              <w:jc w:val="left"/>
              <w:rPr>
                <w:rFonts w:hint="eastAsia" w:hAnsi="宋体" w:cs="Arial"/>
                <w:color w:val="000000" w:themeColor="text1"/>
                <w:sz w:val="24"/>
                <w:lang w:val="en-US" w:eastAsia="zh-CN"/>
                <w14:textFill>
                  <w14:solidFill>
                    <w14:schemeClr w14:val="tx1"/>
                  </w14:solidFill>
                </w14:textFill>
              </w:rPr>
            </w:pPr>
            <w:r>
              <w:rPr>
                <w:rFonts w:hint="eastAsia" w:hAnsi="宋体" w:cs="Arial"/>
                <w:color w:val="000000" w:themeColor="text1"/>
                <w:sz w:val="24"/>
                <w:lang w:val="en-US" w:eastAsia="zh-CN"/>
                <w14:textFill>
                  <w14:solidFill>
                    <w14:schemeClr w14:val="tx1"/>
                  </w14:solidFill>
                </w14:textFill>
              </w:rPr>
              <w:t>注：提供身份证、健康证明材料、劳动合同。不提供不得分。</w:t>
            </w:r>
          </w:p>
        </w:tc>
      </w:tr>
    </w:tbl>
    <w:p w14:paraId="1DCACCA1">
      <w:pPr>
        <w:pStyle w:val="17"/>
        <w:spacing w:line="360" w:lineRule="auto"/>
        <w:jc w:val="left"/>
        <w:rPr>
          <w:rFonts w:hAnsi="宋体" w:cs="Arial"/>
          <w:sz w:val="24"/>
          <w:szCs w:val="24"/>
        </w:rPr>
      </w:pPr>
    </w:p>
    <w:p w14:paraId="2168DD76">
      <w:pPr>
        <w:pStyle w:val="17"/>
        <w:spacing w:line="360" w:lineRule="auto"/>
        <w:jc w:val="left"/>
        <w:rPr>
          <w:rFonts w:hAnsi="宋体" w:cs="Arial"/>
          <w:sz w:val="24"/>
          <w:szCs w:val="24"/>
        </w:rPr>
      </w:pPr>
    </w:p>
    <w:p w14:paraId="427AB4AA">
      <w:pPr>
        <w:pStyle w:val="4"/>
        <w:numPr>
          <w:ilvl w:val="0"/>
          <w:numId w:val="6"/>
        </w:numPr>
        <w:spacing w:beforeLines="100" w:afterLines="100"/>
        <w:jc w:val="center"/>
        <w:outlineLvl w:val="1"/>
        <w:rPr>
          <w:rFonts w:hAnsi="宋体" w:cs="宋体"/>
          <w:b/>
          <w:sz w:val="32"/>
          <w:szCs w:val="32"/>
        </w:rPr>
      </w:pPr>
      <w:bookmarkStart w:id="264" w:name="_Toc16903"/>
      <w:bookmarkStart w:id="265" w:name="_Toc16595"/>
      <w:bookmarkStart w:id="266" w:name="_Toc488673637"/>
      <w:r>
        <w:rPr>
          <w:rFonts w:hAnsi="宋体" w:cs="宋体"/>
          <w:b/>
          <w:sz w:val="32"/>
          <w:szCs w:val="32"/>
        </w:rPr>
        <w:t>确定成交供应商</w:t>
      </w:r>
      <w:bookmarkEnd w:id="264"/>
      <w:bookmarkEnd w:id="265"/>
    </w:p>
    <w:p w14:paraId="3EC18977">
      <w:pPr>
        <w:pStyle w:val="6"/>
        <w:spacing w:beforeLines="50" w:afterLines="50" w:line="360" w:lineRule="auto"/>
        <w:outlineLvl w:val="2"/>
        <w:rPr>
          <w:rFonts w:ascii="宋体" w:hAnsi="宋体" w:cs="宋体"/>
          <w:bCs w:val="0"/>
        </w:rPr>
      </w:pPr>
      <w:bookmarkStart w:id="267" w:name="_Toc8254"/>
      <w:bookmarkStart w:id="268" w:name="_Toc10996"/>
      <w:bookmarkStart w:id="269" w:name="_Toc22824"/>
      <w:bookmarkStart w:id="270" w:name="_Toc23374"/>
      <w:bookmarkStart w:id="271" w:name="_Toc30624"/>
      <w:bookmarkStart w:id="272" w:name="_Toc27036"/>
      <w:r>
        <w:rPr>
          <w:rFonts w:hint="eastAsia" w:ascii="宋体" w:hAnsi="宋体" w:cs="宋体"/>
          <w:bCs w:val="0"/>
        </w:rPr>
        <w:t>20.推荐并确定中标磋商供应商</w:t>
      </w:r>
      <w:bookmarkEnd w:id="266"/>
      <w:bookmarkEnd w:id="267"/>
      <w:bookmarkEnd w:id="268"/>
      <w:bookmarkEnd w:id="269"/>
      <w:bookmarkEnd w:id="270"/>
      <w:bookmarkEnd w:id="271"/>
      <w:bookmarkEnd w:id="272"/>
    </w:p>
    <w:p w14:paraId="3549974D">
      <w:pPr>
        <w:pStyle w:val="17"/>
        <w:spacing w:line="360" w:lineRule="auto"/>
        <w:ind w:firstLine="420" w:firstLineChars="175"/>
        <w:jc w:val="left"/>
        <w:rPr>
          <w:rFonts w:hAnsi="宋体"/>
          <w:sz w:val="24"/>
          <w:szCs w:val="28"/>
        </w:rPr>
      </w:pPr>
      <w:r>
        <w:rPr>
          <w:rFonts w:hint="eastAsia" w:hAnsi="宋体"/>
          <w:sz w:val="24"/>
          <w:szCs w:val="28"/>
        </w:rPr>
        <w:t>20.1采购代理机构应当在评审结束后2个工作日内将评审报告送采购人确认。采购人应当在收到评审报告后5个工作日内，从评审报告提出的成交候选供应商中，按照排序由 高到低的原则确定成交供应商，也可以书面授权磋商小组直接确定成交供应商。采购人逾期未确定成交供应商且不提出异议的，视为确定评审报告提出的排序第一的供应商为成交供应商。</w:t>
      </w:r>
    </w:p>
    <w:p w14:paraId="071F2DFB">
      <w:pPr>
        <w:pStyle w:val="6"/>
        <w:spacing w:beforeLines="50" w:afterLines="50" w:line="360" w:lineRule="auto"/>
        <w:outlineLvl w:val="2"/>
        <w:rPr>
          <w:rFonts w:ascii="宋体" w:hAnsi="宋体" w:cs="宋体"/>
          <w:bCs w:val="0"/>
        </w:rPr>
      </w:pPr>
      <w:bookmarkStart w:id="273" w:name="_Toc22207"/>
      <w:bookmarkStart w:id="274" w:name="_Toc26009"/>
      <w:bookmarkStart w:id="275" w:name="_Toc2695"/>
      <w:bookmarkStart w:id="276" w:name="_Toc27447"/>
      <w:bookmarkStart w:id="277" w:name="_Toc5220"/>
      <w:bookmarkStart w:id="278" w:name="_Toc5546"/>
      <w:r>
        <w:rPr>
          <w:rFonts w:hint="eastAsia" w:ascii="宋体" w:hAnsi="宋体" w:cs="宋体"/>
          <w:bCs w:val="0"/>
        </w:rPr>
        <w:t>21.</w:t>
      </w:r>
      <w:r>
        <w:rPr>
          <w:rFonts w:ascii="宋体" w:hAnsi="宋体" w:cs="宋体"/>
          <w:bCs w:val="0"/>
        </w:rPr>
        <w:t>成交通知</w:t>
      </w:r>
      <w:bookmarkEnd w:id="273"/>
      <w:bookmarkEnd w:id="274"/>
      <w:bookmarkEnd w:id="275"/>
      <w:bookmarkEnd w:id="276"/>
      <w:bookmarkEnd w:id="277"/>
      <w:bookmarkEnd w:id="278"/>
    </w:p>
    <w:p w14:paraId="6C9C99D7">
      <w:pPr>
        <w:autoSpaceDE w:val="0"/>
        <w:autoSpaceDN w:val="0"/>
        <w:snapToGrid w:val="0"/>
        <w:spacing w:before="156" w:line="466" w:lineRule="exact"/>
        <w:ind w:firstLine="420" w:firstLineChars="175"/>
        <w:rPr>
          <w:rFonts w:ascii="宋体" w:hAnsi="宋体"/>
          <w:kern w:val="0"/>
          <w:sz w:val="24"/>
          <w:szCs w:val="28"/>
        </w:rPr>
      </w:pPr>
      <w:r>
        <w:rPr>
          <w:rFonts w:hint="eastAsia" w:ascii="宋体" w:hAnsi="宋体"/>
          <w:kern w:val="0"/>
          <w:sz w:val="24"/>
          <w:szCs w:val="28"/>
        </w:rPr>
        <w:t>21.1</w:t>
      </w:r>
      <w:r>
        <w:rPr>
          <w:rFonts w:ascii="宋体" w:hAnsi="宋体"/>
          <w:kern w:val="0"/>
          <w:sz w:val="24"/>
          <w:szCs w:val="28"/>
        </w:rPr>
        <w:t>采购人或者采购代理机构应当在成交供应商确定后2个工作日内，在青海政府采购网上公告成交结果，同时向成交供应商发出成交通知书。</w:t>
      </w:r>
    </w:p>
    <w:p w14:paraId="35D38A76">
      <w:pPr>
        <w:autoSpaceDE w:val="0"/>
        <w:autoSpaceDN w:val="0"/>
        <w:snapToGrid w:val="0"/>
        <w:spacing w:line="468" w:lineRule="exact"/>
        <w:ind w:firstLine="420" w:firstLineChars="175"/>
        <w:rPr>
          <w:rFonts w:ascii="宋体" w:hAnsi="宋体"/>
          <w:kern w:val="0"/>
          <w:sz w:val="24"/>
          <w:szCs w:val="28"/>
        </w:rPr>
      </w:pPr>
      <w:r>
        <w:rPr>
          <w:rFonts w:hint="eastAsia" w:ascii="宋体" w:hAnsi="宋体"/>
          <w:kern w:val="0"/>
          <w:sz w:val="24"/>
          <w:szCs w:val="28"/>
        </w:rPr>
        <w:t>21.2</w:t>
      </w:r>
      <w:r>
        <w:rPr>
          <w:rFonts w:ascii="宋体" w:hAnsi="宋体"/>
          <w:kern w:val="0"/>
          <w:sz w:val="24"/>
          <w:szCs w:val="28"/>
        </w:rPr>
        <w:t>《成交通知书》发出后，采购人改变成交结果的，或者成交供应商无正当理由放弃成交项目的，依法承担法律责任。</w:t>
      </w:r>
    </w:p>
    <w:p w14:paraId="20A1390B">
      <w:pPr>
        <w:pStyle w:val="4"/>
        <w:numPr>
          <w:ilvl w:val="0"/>
          <w:numId w:val="6"/>
        </w:numPr>
        <w:spacing w:beforeLines="100" w:afterLines="100"/>
        <w:jc w:val="center"/>
        <w:outlineLvl w:val="1"/>
        <w:rPr>
          <w:rFonts w:hAnsi="宋体" w:cs="宋体"/>
          <w:b/>
          <w:sz w:val="32"/>
          <w:szCs w:val="32"/>
        </w:rPr>
      </w:pPr>
      <w:bookmarkStart w:id="279" w:name="_Toc16221"/>
      <w:bookmarkStart w:id="280" w:name="_Toc7283"/>
      <w:r>
        <w:rPr>
          <w:rFonts w:hAnsi="宋体" w:cs="宋体"/>
          <w:b/>
          <w:sz w:val="32"/>
          <w:szCs w:val="32"/>
        </w:rPr>
        <w:t>授予</w:t>
      </w:r>
      <w:r>
        <w:rPr>
          <w:rFonts w:hint="eastAsia" w:hAnsi="宋体" w:cs="宋体"/>
          <w:b/>
          <w:sz w:val="32"/>
          <w:szCs w:val="32"/>
        </w:rPr>
        <w:t>合</w:t>
      </w:r>
      <w:r>
        <w:rPr>
          <w:rFonts w:hAnsi="宋体" w:cs="宋体"/>
          <w:b/>
          <w:sz w:val="32"/>
          <w:szCs w:val="32"/>
        </w:rPr>
        <w:t>同</w:t>
      </w:r>
      <w:bookmarkEnd w:id="279"/>
      <w:bookmarkEnd w:id="280"/>
    </w:p>
    <w:p w14:paraId="70ECDB95">
      <w:pPr>
        <w:pStyle w:val="6"/>
        <w:spacing w:beforeLines="50" w:afterLines="50" w:line="360" w:lineRule="auto"/>
        <w:outlineLvl w:val="2"/>
        <w:rPr>
          <w:rFonts w:ascii="宋体" w:hAnsi="宋体" w:cs="宋体"/>
          <w:bCs w:val="0"/>
        </w:rPr>
      </w:pPr>
      <w:bookmarkStart w:id="281" w:name="_Toc17304"/>
      <w:bookmarkStart w:id="282" w:name="_Toc18675"/>
      <w:bookmarkStart w:id="283" w:name="_Toc8801"/>
      <w:bookmarkStart w:id="284" w:name="_Toc3553"/>
      <w:bookmarkStart w:id="285" w:name="_Toc27628"/>
      <w:r>
        <w:rPr>
          <w:rFonts w:ascii="宋体" w:hAnsi="宋体" w:cs="宋体"/>
          <w:bCs w:val="0"/>
        </w:rPr>
        <w:t>2</w:t>
      </w:r>
      <w:r>
        <w:rPr>
          <w:rFonts w:hint="eastAsia" w:ascii="宋体" w:hAnsi="宋体" w:cs="宋体"/>
          <w:bCs w:val="0"/>
        </w:rPr>
        <w:t>2</w:t>
      </w:r>
      <w:r>
        <w:rPr>
          <w:rFonts w:ascii="宋体" w:hAnsi="宋体" w:cs="宋体"/>
          <w:bCs w:val="0"/>
        </w:rPr>
        <w:t>.签订合同</w:t>
      </w:r>
      <w:bookmarkEnd w:id="281"/>
      <w:bookmarkEnd w:id="282"/>
      <w:bookmarkEnd w:id="283"/>
      <w:bookmarkEnd w:id="284"/>
      <w:bookmarkEnd w:id="285"/>
    </w:p>
    <w:p w14:paraId="45071BF2">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2</w:t>
      </w:r>
      <w:r>
        <w:rPr>
          <w:rFonts w:ascii="宋体" w:hAnsi="宋体"/>
          <w:kern w:val="0"/>
          <w:sz w:val="24"/>
          <w:szCs w:val="28"/>
        </w:rPr>
        <w:t>.1采购人与成交供应商双方应当自《成交通知书》发出之日起30日内，签订采购合同，送采购代理机构审核并备案。</w:t>
      </w:r>
    </w:p>
    <w:p w14:paraId="4FE990EF">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2</w:t>
      </w:r>
      <w:r>
        <w:rPr>
          <w:rFonts w:ascii="宋体" w:hAnsi="宋体"/>
          <w:kern w:val="0"/>
          <w:sz w:val="24"/>
          <w:szCs w:val="28"/>
        </w:rPr>
        <w:t>.2 签订合同前，成交供应商应当以支票、汇票、本票等非现金形式向采购人指 定账户交纳履约保证金。履约保证金的数额由采购人确认，但不得超出采购合同总金额的10%。</w:t>
      </w:r>
    </w:p>
    <w:p w14:paraId="586AF543">
      <w:pPr>
        <w:autoSpaceDE w:val="0"/>
        <w:autoSpaceDN w:val="0"/>
        <w:snapToGrid w:val="0"/>
        <w:spacing w:line="360" w:lineRule="auto"/>
        <w:ind w:firstLine="420" w:firstLineChars="175"/>
        <w:rPr>
          <w:rFonts w:ascii="宋体" w:hAnsi="宋体"/>
          <w:kern w:val="0"/>
          <w:sz w:val="24"/>
          <w:szCs w:val="28"/>
        </w:rPr>
      </w:pPr>
      <w:r>
        <w:rPr>
          <w:rFonts w:hint="eastAsia" w:ascii="宋体" w:hAnsi="宋体"/>
          <w:kern w:val="0"/>
          <w:sz w:val="24"/>
          <w:szCs w:val="28"/>
        </w:rPr>
        <w:t>22.3</w:t>
      </w:r>
      <w:r>
        <w:rPr>
          <w:rFonts w:ascii="宋体" w:hAnsi="宋体"/>
          <w:kern w:val="0"/>
          <w:sz w:val="24"/>
          <w:szCs w:val="28"/>
        </w:rPr>
        <w:t>成交供应商在法定期限内无正当理由拒签合同的，按违约处理。同时，采购代理机构和采购人可依评标排序重新确定成交供应商，并协调双方签订采购合同，或重新组织采购活动。</w:t>
      </w:r>
    </w:p>
    <w:p w14:paraId="53F712FB">
      <w:pPr>
        <w:autoSpaceDE w:val="0"/>
        <w:autoSpaceDN w:val="0"/>
        <w:snapToGrid w:val="0"/>
        <w:spacing w:line="360" w:lineRule="auto"/>
        <w:ind w:firstLine="420" w:firstLineChars="175"/>
        <w:rPr>
          <w:rFonts w:ascii="宋体" w:hAnsi="宋体"/>
          <w:kern w:val="0"/>
          <w:sz w:val="24"/>
          <w:szCs w:val="28"/>
        </w:rPr>
      </w:pPr>
      <w:r>
        <w:rPr>
          <w:rFonts w:hint="eastAsia" w:ascii="宋体" w:hAnsi="宋体"/>
          <w:kern w:val="0"/>
          <w:sz w:val="24"/>
          <w:szCs w:val="28"/>
        </w:rPr>
        <w:t>22.4</w:t>
      </w:r>
      <w:r>
        <w:rPr>
          <w:rFonts w:ascii="宋体" w:hAnsi="宋体"/>
          <w:kern w:val="0"/>
          <w:sz w:val="24"/>
          <w:szCs w:val="28"/>
        </w:rPr>
        <w:t>采购人不得向成交供应商提出任何不合理的要求作为订立合同的条件，采购人和成交供应商不得私下订立背离合同实质性内容的协议。</w:t>
      </w:r>
    </w:p>
    <w:p w14:paraId="196F7E38">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2.5</w:t>
      </w:r>
      <w:r>
        <w:rPr>
          <w:rFonts w:ascii="宋体" w:hAnsi="宋体"/>
          <w:kern w:val="0"/>
          <w:sz w:val="24"/>
          <w:szCs w:val="28"/>
        </w:rPr>
        <w:t>磋商文件、成交供应商的响应文件、《成交通知书》及其澄清、说明文件、承诺等，均为签订采购合同的依据，作为采购合同的组成部分。</w:t>
      </w:r>
    </w:p>
    <w:p w14:paraId="2AEF0274">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2</w:t>
      </w:r>
      <w:r>
        <w:rPr>
          <w:rFonts w:ascii="宋体" w:hAnsi="宋体"/>
          <w:kern w:val="0"/>
          <w:sz w:val="24"/>
          <w:szCs w:val="28"/>
        </w:rPr>
        <w:t>.6采购合同签订之日起2个工作日内，由采购人将采购合同在青海政府采购网上公告，但采购合同中涉及国家秘密、商业秘密的内容除外。</w:t>
      </w:r>
    </w:p>
    <w:p w14:paraId="0CB47EAA">
      <w:pPr>
        <w:pStyle w:val="4"/>
        <w:numPr>
          <w:ilvl w:val="0"/>
          <w:numId w:val="6"/>
        </w:numPr>
        <w:spacing w:beforeLines="100" w:afterLines="100"/>
        <w:jc w:val="center"/>
        <w:outlineLvl w:val="1"/>
        <w:rPr>
          <w:rFonts w:hAnsi="宋体" w:cs="宋体"/>
          <w:b/>
          <w:sz w:val="32"/>
          <w:szCs w:val="32"/>
        </w:rPr>
      </w:pPr>
      <w:bookmarkStart w:id="286" w:name="_Toc23536"/>
      <w:bookmarkStart w:id="287" w:name="_Toc29205"/>
      <w:r>
        <w:rPr>
          <w:rFonts w:hAnsi="宋体" w:cs="宋体"/>
          <w:b/>
          <w:sz w:val="32"/>
          <w:szCs w:val="32"/>
        </w:rPr>
        <w:t>串通磋商的认定及处理办法</w:t>
      </w:r>
      <w:bookmarkEnd w:id="286"/>
      <w:bookmarkEnd w:id="287"/>
    </w:p>
    <w:p w14:paraId="61128C92">
      <w:pPr>
        <w:pStyle w:val="6"/>
        <w:spacing w:beforeLines="50" w:afterLines="50" w:line="360" w:lineRule="auto"/>
        <w:outlineLvl w:val="2"/>
        <w:rPr>
          <w:rFonts w:ascii="宋体" w:hAnsi="宋体" w:cs="宋体"/>
          <w:bCs w:val="0"/>
        </w:rPr>
      </w:pPr>
      <w:bookmarkStart w:id="288" w:name="_Toc12032"/>
      <w:bookmarkStart w:id="289" w:name="_Toc7140"/>
      <w:bookmarkStart w:id="290" w:name="_Toc27826"/>
      <w:bookmarkStart w:id="291" w:name="_Toc24585"/>
      <w:bookmarkStart w:id="292" w:name="_Toc16397"/>
      <w:r>
        <w:rPr>
          <w:rFonts w:ascii="宋体" w:hAnsi="宋体" w:cs="宋体"/>
          <w:bCs w:val="0"/>
        </w:rPr>
        <w:t>2</w:t>
      </w:r>
      <w:r>
        <w:rPr>
          <w:rFonts w:hint="eastAsia" w:ascii="宋体" w:hAnsi="宋体" w:cs="宋体"/>
          <w:bCs w:val="0"/>
        </w:rPr>
        <w:t>3</w:t>
      </w:r>
      <w:r>
        <w:rPr>
          <w:rFonts w:ascii="宋体" w:hAnsi="宋体" w:cs="宋体"/>
          <w:bCs w:val="0"/>
        </w:rPr>
        <w:t>.串通磋商的情形</w:t>
      </w:r>
      <w:bookmarkEnd w:id="288"/>
      <w:bookmarkEnd w:id="289"/>
      <w:bookmarkEnd w:id="290"/>
      <w:bookmarkEnd w:id="291"/>
      <w:bookmarkEnd w:id="292"/>
    </w:p>
    <w:p w14:paraId="74474E83">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3</w:t>
      </w:r>
      <w:r>
        <w:rPr>
          <w:rFonts w:ascii="宋体" w:hAnsi="宋体"/>
          <w:kern w:val="0"/>
          <w:sz w:val="24"/>
          <w:szCs w:val="28"/>
        </w:rPr>
        <w:t>.1供应商应当遵循公平竞争的原则，不得恶意串通，不得妨碍其他供应商的竞争行为，不得损害采购人或者其他供应商的合法权益。</w:t>
      </w:r>
    </w:p>
    <w:p w14:paraId="795A5F74">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w:t>
      </w:r>
      <w:r>
        <w:rPr>
          <w:rFonts w:hint="eastAsia" w:ascii="宋体" w:hAnsi="宋体"/>
          <w:kern w:val="0"/>
          <w:sz w:val="24"/>
          <w:szCs w:val="28"/>
        </w:rPr>
        <w:t>3</w:t>
      </w:r>
      <w:r>
        <w:rPr>
          <w:rFonts w:ascii="宋体" w:hAnsi="宋体"/>
          <w:kern w:val="0"/>
          <w:sz w:val="24"/>
          <w:szCs w:val="28"/>
        </w:rPr>
        <w:t>.2 有下列情形之一的，视为供应商串通磋商，其磋商无效：</w:t>
      </w:r>
    </w:p>
    <w:p w14:paraId="1E7BE979">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（1）不同供应商的磋商响应文件由同一单位或者个人编制；</w:t>
      </w:r>
    </w:p>
    <w:p w14:paraId="1C38E26D">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（2）不同供应商委托同一单位或者个人办理磋商事宜；</w:t>
      </w:r>
    </w:p>
    <w:p w14:paraId="61E57870">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 xml:space="preserve">（3）不同供应商的磋商响应文件载明的项目管理成员或者联系人员为同一人； </w:t>
      </w:r>
    </w:p>
    <w:p w14:paraId="4FA9EE53">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（4）不同供应商的磋商响应文件异常一致或者磋商报价呈规律性差异；</w:t>
      </w:r>
    </w:p>
    <w:p w14:paraId="24E5CCED">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（5）不同供应商的磋商响应文件相互混装；</w:t>
      </w:r>
    </w:p>
    <w:p w14:paraId="743C64DE">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（6）不同供应商的磋商保证金从同一单位或者个人的账户转出。</w:t>
      </w:r>
    </w:p>
    <w:p w14:paraId="055D6B9A">
      <w:pPr>
        <w:pStyle w:val="4"/>
        <w:numPr>
          <w:ilvl w:val="0"/>
          <w:numId w:val="6"/>
        </w:numPr>
        <w:spacing w:beforeLines="100" w:afterLines="100"/>
        <w:jc w:val="center"/>
        <w:outlineLvl w:val="1"/>
        <w:rPr>
          <w:rFonts w:hAnsi="宋体" w:cs="宋体"/>
          <w:b/>
          <w:sz w:val="32"/>
          <w:szCs w:val="32"/>
        </w:rPr>
      </w:pPr>
      <w:bookmarkStart w:id="293" w:name="_Toc6357"/>
      <w:bookmarkStart w:id="294" w:name="_Toc21788"/>
      <w:r>
        <w:rPr>
          <w:rFonts w:hAnsi="宋体" w:cs="宋体"/>
          <w:b/>
          <w:sz w:val="32"/>
          <w:szCs w:val="32"/>
        </w:rPr>
        <w:t>磋商活动终止</w:t>
      </w:r>
      <w:bookmarkEnd w:id="293"/>
      <w:bookmarkEnd w:id="294"/>
    </w:p>
    <w:p w14:paraId="4A4436F7">
      <w:pPr>
        <w:pStyle w:val="6"/>
        <w:spacing w:beforeLines="50" w:afterLines="50" w:line="360" w:lineRule="auto"/>
        <w:outlineLvl w:val="2"/>
        <w:rPr>
          <w:rFonts w:ascii="宋体" w:hAnsi="宋体" w:cs="宋体"/>
          <w:bCs w:val="0"/>
        </w:rPr>
      </w:pPr>
      <w:bookmarkStart w:id="295" w:name="_Toc26958"/>
      <w:bookmarkStart w:id="296" w:name="_Toc32"/>
      <w:bookmarkStart w:id="297" w:name="_Toc9097"/>
      <w:bookmarkStart w:id="298" w:name="_Toc19804"/>
      <w:r>
        <w:rPr>
          <w:rFonts w:ascii="宋体" w:hAnsi="宋体" w:cs="宋体"/>
          <w:bCs w:val="0"/>
        </w:rPr>
        <w:t>2</w:t>
      </w:r>
      <w:r>
        <w:rPr>
          <w:rFonts w:hint="eastAsia" w:ascii="宋体" w:hAnsi="宋体" w:cs="宋体"/>
          <w:bCs w:val="0"/>
        </w:rPr>
        <w:t>4</w:t>
      </w:r>
      <w:r>
        <w:rPr>
          <w:rFonts w:ascii="宋体" w:hAnsi="宋体" w:cs="宋体"/>
          <w:bCs w:val="0"/>
        </w:rPr>
        <w:t>.终止情形</w:t>
      </w:r>
      <w:bookmarkEnd w:id="295"/>
      <w:bookmarkEnd w:id="296"/>
      <w:bookmarkEnd w:id="297"/>
      <w:bookmarkEnd w:id="298"/>
    </w:p>
    <w:p w14:paraId="64EF8545">
      <w:pPr>
        <w:autoSpaceDE w:val="0"/>
        <w:autoSpaceDN w:val="0"/>
        <w:snapToGrid w:val="0"/>
        <w:spacing w:line="360" w:lineRule="auto"/>
        <w:ind w:firstLine="420" w:firstLineChars="175"/>
        <w:rPr>
          <w:rFonts w:ascii="宋体" w:hAnsi="宋体"/>
          <w:kern w:val="0"/>
          <w:sz w:val="24"/>
          <w:szCs w:val="28"/>
        </w:rPr>
      </w:pPr>
      <w:r>
        <w:rPr>
          <w:rFonts w:hint="eastAsia" w:ascii="宋体" w:hAnsi="宋体"/>
          <w:kern w:val="0"/>
          <w:sz w:val="24"/>
          <w:szCs w:val="28"/>
        </w:rPr>
        <w:t>24.1</w:t>
      </w:r>
      <w:r>
        <w:rPr>
          <w:rFonts w:ascii="宋体" w:hAnsi="宋体"/>
          <w:kern w:val="0"/>
          <w:sz w:val="24"/>
          <w:szCs w:val="28"/>
        </w:rPr>
        <w:t>出现下列情形之一的，采购代理机构应当终止竞争性磋商采购活动，发布项目终止公告并说明原因，重新开展采购活动：</w:t>
      </w:r>
    </w:p>
    <w:p w14:paraId="6EF6BBC7">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（1）因情况变化，不再符合规定的竞争性磋商采购方式适用情形的；</w:t>
      </w:r>
    </w:p>
    <w:p w14:paraId="2834EBFE">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（2）出现影响采购公正的违法、违规行为的；</w:t>
      </w:r>
    </w:p>
    <w:p w14:paraId="73E8A9DD">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（3）除《政府采购竞争性磋商采购方式管理暂行办法》第二十一条第三款规定的情形外，在采购过程中符合要求的供应商或者报价未超过采购预算的供应商不足3家的。</w:t>
      </w:r>
    </w:p>
    <w:p w14:paraId="2F8F638B">
      <w:pPr>
        <w:autoSpaceDE w:val="0"/>
        <w:autoSpaceDN w:val="0"/>
        <w:snapToGrid w:val="0"/>
        <w:spacing w:line="360" w:lineRule="auto"/>
        <w:ind w:firstLine="420" w:firstLineChars="175"/>
        <w:rPr>
          <w:rFonts w:ascii="宋体" w:hAnsi="宋体"/>
          <w:kern w:val="0"/>
          <w:sz w:val="24"/>
          <w:szCs w:val="28"/>
        </w:rPr>
      </w:pPr>
      <w:r>
        <w:rPr>
          <w:rFonts w:hint="eastAsia" w:ascii="宋体" w:hAnsi="宋体"/>
          <w:kern w:val="0"/>
          <w:sz w:val="24"/>
          <w:szCs w:val="28"/>
        </w:rPr>
        <w:t>24.2</w:t>
      </w:r>
      <w:r>
        <w:rPr>
          <w:rFonts w:ascii="宋体" w:hAnsi="宋体"/>
          <w:kern w:val="0"/>
          <w:sz w:val="24"/>
          <w:szCs w:val="28"/>
        </w:rPr>
        <w:t>终止磋商活动后，由采购代理机构发布终止公告并说明原因。</w:t>
      </w:r>
    </w:p>
    <w:p w14:paraId="7202E324">
      <w:pPr>
        <w:pStyle w:val="4"/>
        <w:spacing w:beforeLines="100" w:afterLines="100"/>
        <w:jc w:val="center"/>
        <w:outlineLvl w:val="1"/>
        <w:rPr>
          <w:rFonts w:hAnsi="宋体" w:cs="宋体"/>
          <w:b/>
          <w:sz w:val="32"/>
          <w:szCs w:val="32"/>
        </w:rPr>
      </w:pPr>
      <w:bookmarkStart w:id="299" w:name="_Toc469"/>
      <w:bookmarkStart w:id="300" w:name="_Toc5891"/>
      <w:r>
        <w:rPr>
          <w:rFonts w:hint="eastAsia" w:hAnsi="宋体" w:cs="宋体"/>
          <w:b/>
          <w:sz w:val="32"/>
          <w:szCs w:val="32"/>
        </w:rPr>
        <w:t>十一、</w:t>
      </w:r>
      <w:r>
        <w:rPr>
          <w:rFonts w:hAnsi="宋体" w:cs="宋体"/>
          <w:b/>
          <w:sz w:val="32"/>
          <w:szCs w:val="32"/>
        </w:rPr>
        <w:t>处罚</w:t>
      </w:r>
      <w:bookmarkEnd w:id="299"/>
      <w:bookmarkEnd w:id="300"/>
    </w:p>
    <w:p w14:paraId="06B0797E">
      <w:pPr>
        <w:pStyle w:val="6"/>
        <w:spacing w:beforeLines="50" w:afterLines="50" w:line="360" w:lineRule="auto"/>
        <w:outlineLvl w:val="2"/>
        <w:rPr>
          <w:rFonts w:ascii="宋体" w:hAnsi="宋体" w:cs="宋体"/>
          <w:bCs w:val="0"/>
        </w:rPr>
      </w:pPr>
      <w:bookmarkStart w:id="301" w:name="_Toc16534"/>
      <w:bookmarkStart w:id="302" w:name="_Toc31040"/>
      <w:bookmarkStart w:id="303" w:name="_Toc8347"/>
      <w:bookmarkStart w:id="304" w:name="_Toc16570"/>
      <w:r>
        <w:rPr>
          <w:rFonts w:ascii="宋体" w:hAnsi="宋体" w:cs="宋体"/>
          <w:bCs w:val="0"/>
        </w:rPr>
        <w:t>2</w:t>
      </w:r>
      <w:r>
        <w:rPr>
          <w:rFonts w:hint="eastAsia" w:ascii="宋体" w:hAnsi="宋体" w:cs="宋体"/>
          <w:bCs w:val="0"/>
        </w:rPr>
        <w:t>5</w:t>
      </w:r>
      <w:r>
        <w:rPr>
          <w:rFonts w:ascii="宋体" w:hAnsi="宋体" w:cs="宋体"/>
          <w:bCs w:val="0"/>
        </w:rPr>
        <w:t>.处罚情形</w:t>
      </w:r>
      <w:bookmarkEnd w:id="301"/>
      <w:bookmarkEnd w:id="302"/>
      <w:bookmarkEnd w:id="303"/>
      <w:bookmarkEnd w:id="304"/>
    </w:p>
    <w:p w14:paraId="52FDB088">
      <w:pPr>
        <w:autoSpaceDE w:val="0"/>
        <w:autoSpaceDN w:val="0"/>
        <w:snapToGrid w:val="0"/>
        <w:spacing w:line="360" w:lineRule="auto"/>
        <w:ind w:firstLine="420" w:firstLineChars="175"/>
        <w:rPr>
          <w:rFonts w:ascii="宋体" w:hAnsi="宋体"/>
          <w:kern w:val="0"/>
          <w:sz w:val="24"/>
          <w:szCs w:val="28"/>
        </w:rPr>
      </w:pPr>
      <w:r>
        <w:rPr>
          <w:rFonts w:hint="eastAsia" w:ascii="宋体" w:hAnsi="宋体"/>
          <w:kern w:val="0"/>
          <w:sz w:val="24"/>
          <w:szCs w:val="28"/>
        </w:rPr>
        <w:t>25.1</w:t>
      </w:r>
      <w:r>
        <w:rPr>
          <w:rFonts w:ascii="宋体" w:hAnsi="宋体"/>
          <w:kern w:val="0"/>
          <w:sz w:val="24"/>
          <w:szCs w:val="28"/>
        </w:rPr>
        <w:t>成交供应商有下列情形之一的，成交无效，磋商保证金不予退还。情节严重的，报同级财政部门依法进行处理：</w:t>
      </w:r>
    </w:p>
    <w:p w14:paraId="0456ED34">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（1）提供虚假材料谋取中标、成交的；</w:t>
      </w:r>
    </w:p>
    <w:p w14:paraId="4FCF89D5">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（2）采取不正当手段诋毁、排挤其他供应商的；</w:t>
      </w:r>
    </w:p>
    <w:p w14:paraId="7D1472CD">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（3）与采购人、其他供应商或者采购代理机构恶意串通的；</w:t>
      </w:r>
    </w:p>
    <w:p w14:paraId="3AF70EAF">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（4）向采购人、采购代理机构行贿或者提供其他不正当利益的；</w:t>
      </w:r>
    </w:p>
    <w:p w14:paraId="62AD1258">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（5）在采购过程中与采购人进行协商谈判的；</w:t>
      </w:r>
    </w:p>
    <w:p w14:paraId="64777DB6">
      <w:pPr>
        <w:autoSpaceDE w:val="0"/>
        <w:autoSpaceDN w:val="0"/>
        <w:snapToGrid w:val="0"/>
        <w:spacing w:line="360" w:lineRule="auto"/>
        <w:ind w:firstLine="420" w:firstLineChars="175"/>
        <w:rPr>
          <w:rFonts w:ascii="宋体" w:hAnsi="宋体"/>
          <w:kern w:val="0"/>
          <w:sz w:val="24"/>
          <w:szCs w:val="28"/>
        </w:rPr>
      </w:pPr>
      <w:r>
        <w:rPr>
          <w:rFonts w:ascii="宋体" w:hAnsi="宋体"/>
          <w:kern w:val="0"/>
          <w:sz w:val="24"/>
          <w:szCs w:val="28"/>
        </w:rPr>
        <w:t>（6）向磋商小组行贿或者提供其他不正当利益。</w:t>
      </w:r>
    </w:p>
    <w:p w14:paraId="46813EC2">
      <w:pPr>
        <w:pStyle w:val="4"/>
        <w:spacing w:beforeLines="100" w:afterLines="100"/>
        <w:ind w:left="420"/>
        <w:jc w:val="center"/>
        <w:outlineLvl w:val="1"/>
        <w:rPr>
          <w:rFonts w:hAnsi="宋体" w:cs="宋体"/>
          <w:b/>
          <w:sz w:val="32"/>
          <w:szCs w:val="32"/>
        </w:rPr>
      </w:pPr>
      <w:bookmarkStart w:id="305" w:name="_Toc5186"/>
      <w:bookmarkStart w:id="306" w:name="_Toc30266"/>
      <w:r>
        <w:rPr>
          <w:rFonts w:hint="eastAsia" w:hAnsi="宋体" w:cs="宋体"/>
          <w:b/>
          <w:sz w:val="32"/>
          <w:szCs w:val="32"/>
        </w:rPr>
        <w:t>十二、</w:t>
      </w:r>
      <w:r>
        <w:rPr>
          <w:rFonts w:hAnsi="宋体" w:cs="宋体"/>
          <w:b/>
          <w:sz w:val="32"/>
          <w:szCs w:val="32"/>
        </w:rPr>
        <w:t>其他</w:t>
      </w:r>
      <w:bookmarkEnd w:id="305"/>
      <w:bookmarkEnd w:id="306"/>
    </w:p>
    <w:p w14:paraId="744DE6D1">
      <w:pPr>
        <w:pStyle w:val="6"/>
        <w:spacing w:beforeLines="50" w:afterLines="50" w:line="360" w:lineRule="auto"/>
        <w:outlineLvl w:val="2"/>
        <w:rPr>
          <w:rFonts w:ascii="宋体" w:hAnsi="宋体" w:cs="宋体"/>
          <w:bCs w:val="0"/>
        </w:rPr>
      </w:pPr>
      <w:bookmarkStart w:id="307" w:name="_Toc18493"/>
      <w:bookmarkStart w:id="308" w:name="_Toc11936"/>
      <w:bookmarkStart w:id="309" w:name="_Toc18221"/>
      <w:bookmarkStart w:id="310" w:name="_Toc26664"/>
      <w:r>
        <w:rPr>
          <w:rFonts w:ascii="宋体" w:hAnsi="宋体" w:cs="宋体"/>
          <w:bCs w:val="0"/>
        </w:rPr>
        <w:t>2</w:t>
      </w:r>
      <w:r>
        <w:rPr>
          <w:rFonts w:hint="eastAsia" w:ascii="宋体" w:hAnsi="宋体" w:cs="宋体"/>
          <w:bCs w:val="0"/>
        </w:rPr>
        <w:t>6</w:t>
      </w:r>
      <w:r>
        <w:rPr>
          <w:rFonts w:ascii="宋体" w:hAnsi="宋体" w:cs="宋体"/>
          <w:bCs w:val="0"/>
        </w:rPr>
        <w:t>.采购代理服务费</w:t>
      </w:r>
      <w:bookmarkEnd w:id="307"/>
      <w:bookmarkEnd w:id="308"/>
      <w:bookmarkEnd w:id="309"/>
    </w:p>
    <w:p w14:paraId="2F369AAE">
      <w:pPr>
        <w:autoSpaceDE w:val="0"/>
        <w:autoSpaceDN w:val="0"/>
        <w:snapToGrid w:val="0"/>
        <w:spacing w:line="360" w:lineRule="auto"/>
        <w:ind w:firstLine="480" w:firstLineChars="200"/>
        <w:rPr>
          <w:rFonts w:hint="eastAsia" w:ascii="宋体" w:hAnsi="宋体" w:eastAsia="宋体" w:cs="Times New Roman"/>
          <w:kern w:val="0"/>
          <w:sz w:val="24"/>
          <w:szCs w:val="28"/>
        </w:rPr>
      </w:pPr>
      <w:r>
        <w:rPr>
          <w:rFonts w:ascii="宋体" w:hAnsi="宋体"/>
          <w:kern w:val="0"/>
          <w:sz w:val="24"/>
          <w:szCs w:val="28"/>
        </w:rPr>
        <w:t>本项目采购代理服务</w:t>
      </w:r>
      <w:r>
        <w:rPr>
          <w:rFonts w:ascii="宋体" w:hAnsi="宋体" w:eastAsia="宋体" w:cs="Times New Roman"/>
          <w:kern w:val="0"/>
          <w:sz w:val="24"/>
          <w:szCs w:val="28"/>
        </w:rPr>
        <w:t>费收取对象</w:t>
      </w:r>
      <w:r>
        <w:rPr>
          <w:rFonts w:hint="eastAsia" w:ascii="宋体" w:hAnsi="宋体" w:eastAsia="宋体" w:cs="Times New Roman"/>
          <w:kern w:val="0"/>
          <w:sz w:val="24"/>
          <w:szCs w:val="28"/>
        </w:rPr>
        <w:t>成交供应商</w:t>
      </w:r>
      <w:r>
        <w:rPr>
          <w:rFonts w:ascii="宋体" w:hAnsi="宋体" w:eastAsia="宋体" w:cs="Times New Roman"/>
          <w:kern w:val="0"/>
          <w:sz w:val="24"/>
          <w:szCs w:val="28"/>
        </w:rPr>
        <w:t>，代理服务费</w:t>
      </w:r>
      <w:r>
        <w:rPr>
          <w:rFonts w:hint="eastAsia" w:ascii="宋体" w:hAnsi="宋体" w:eastAsia="宋体" w:cs="Times New Roman"/>
          <w:kern w:val="0"/>
          <w:sz w:val="24"/>
          <w:szCs w:val="28"/>
        </w:rPr>
        <w:t>：</w:t>
      </w:r>
      <w:r>
        <w:rPr>
          <w:rFonts w:hint="eastAsia" w:ascii="宋体" w:hAnsi="宋体" w:eastAsia="宋体" w:cs="Times New Roman"/>
          <w:kern w:val="0"/>
          <w:sz w:val="24"/>
          <w:szCs w:val="28"/>
          <w:lang w:val="en-US" w:eastAsia="zh-CN"/>
        </w:rPr>
        <w:t>14400.00元</w:t>
      </w:r>
      <w:r>
        <w:rPr>
          <w:rFonts w:hint="eastAsia" w:ascii="宋体" w:hAnsi="宋体" w:eastAsia="宋体" w:cs="Times New Roman"/>
          <w:kern w:val="0"/>
          <w:sz w:val="24"/>
          <w:szCs w:val="28"/>
        </w:rPr>
        <w:t>。</w:t>
      </w:r>
    </w:p>
    <w:p w14:paraId="66DA6377">
      <w:pPr>
        <w:autoSpaceDE w:val="0"/>
        <w:autoSpaceDN w:val="0"/>
        <w:snapToGrid w:val="0"/>
        <w:spacing w:line="360" w:lineRule="auto"/>
        <w:ind w:firstLine="480" w:firstLineChars="200"/>
        <w:rPr>
          <w:rFonts w:hint="eastAsia" w:ascii="宋体" w:hAnsi="宋体" w:eastAsia="宋体" w:cs="Times New Roman"/>
          <w:kern w:val="0"/>
          <w:sz w:val="24"/>
          <w:szCs w:val="28"/>
          <w:lang w:val="zh-CN" w:eastAsia="zh-CN"/>
        </w:rPr>
      </w:pPr>
      <w:r>
        <w:rPr>
          <w:rFonts w:hint="eastAsia" w:ascii="宋体" w:hAnsi="宋体" w:eastAsia="宋体" w:cs="Times New Roman"/>
          <w:kern w:val="0"/>
          <w:sz w:val="24"/>
          <w:szCs w:val="28"/>
          <w:lang w:val="zh-CN" w:eastAsia="zh-CN"/>
        </w:rPr>
        <w:t>收款单位：青海国德招标代理有限公司</w:t>
      </w:r>
    </w:p>
    <w:p w14:paraId="3F48ED4A">
      <w:pPr>
        <w:autoSpaceDE w:val="0"/>
        <w:autoSpaceDN w:val="0"/>
        <w:snapToGrid w:val="0"/>
        <w:spacing w:line="360" w:lineRule="auto"/>
        <w:ind w:firstLine="480" w:firstLineChars="200"/>
        <w:rPr>
          <w:rFonts w:hint="eastAsia" w:ascii="宋体" w:hAnsi="宋体" w:eastAsia="宋体" w:cs="Times New Roman"/>
          <w:kern w:val="0"/>
          <w:sz w:val="24"/>
          <w:szCs w:val="28"/>
          <w:lang w:val="zh-CN" w:eastAsia="zh-CN"/>
        </w:rPr>
      </w:pPr>
      <w:r>
        <w:rPr>
          <w:rFonts w:hint="eastAsia" w:ascii="宋体" w:hAnsi="宋体" w:eastAsia="宋体" w:cs="Times New Roman"/>
          <w:kern w:val="0"/>
          <w:sz w:val="24"/>
          <w:szCs w:val="28"/>
          <w:lang w:val="en-US" w:eastAsia="zh-CN"/>
        </w:rPr>
        <w:t xml:space="preserve">开户行：中国工商银行西宁交通巷支行  </w:t>
      </w:r>
    </w:p>
    <w:p w14:paraId="30781478">
      <w:pPr>
        <w:autoSpaceDE w:val="0"/>
        <w:autoSpaceDN w:val="0"/>
        <w:snapToGrid w:val="0"/>
        <w:spacing w:line="360" w:lineRule="auto"/>
        <w:ind w:firstLine="480" w:firstLineChars="200"/>
        <w:rPr>
          <w:rFonts w:hint="eastAsia" w:ascii="宋体" w:hAnsi="宋体" w:eastAsia="宋体" w:cs="Times New Roman"/>
          <w:kern w:val="0"/>
          <w:sz w:val="24"/>
          <w:szCs w:val="28"/>
          <w:lang w:val="zh-CN"/>
        </w:rPr>
      </w:pPr>
      <w:r>
        <w:rPr>
          <w:rFonts w:hint="eastAsia" w:ascii="宋体" w:hAnsi="宋体" w:eastAsia="宋体" w:cs="Times New Roman"/>
          <w:kern w:val="0"/>
          <w:sz w:val="24"/>
          <w:szCs w:val="28"/>
          <w:lang w:val="en-US" w:eastAsia="zh-CN"/>
        </w:rPr>
        <w:t>银行账号：</w:t>
      </w:r>
      <w:r>
        <w:rPr>
          <w:rFonts w:hint="default" w:ascii="宋体" w:hAnsi="宋体" w:eastAsia="宋体" w:cs="Times New Roman"/>
          <w:kern w:val="0"/>
          <w:sz w:val="24"/>
          <w:szCs w:val="28"/>
          <w:lang w:val="en-US" w:eastAsia="zh-CN"/>
        </w:rPr>
        <w:t>2806007819000041679</w:t>
      </w:r>
    </w:p>
    <w:p w14:paraId="787752BF">
      <w:pPr>
        <w:autoSpaceDE w:val="0"/>
        <w:autoSpaceDN w:val="0"/>
        <w:snapToGrid w:val="0"/>
        <w:spacing w:line="360" w:lineRule="auto"/>
        <w:ind w:firstLine="480" w:firstLineChars="200"/>
        <w:rPr>
          <w:rFonts w:ascii="宋体" w:hAnsi="宋体" w:eastAsia="宋体" w:cs="Times New Roman"/>
          <w:kern w:val="0"/>
          <w:sz w:val="24"/>
          <w:szCs w:val="28"/>
          <w:lang w:val="zh-CN"/>
        </w:rPr>
      </w:pPr>
      <w:r>
        <w:rPr>
          <w:rFonts w:hint="eastAsia" w:ascii="宋体" w:hAnsi="宋体" w:eastAsia="宋体" w:cs="Times New Roman"/>
          <w:kern w:val="0"/>
          <w:sz w:val="24"/>
          <w:szCs w:val="28"/>
          <w:lang w:val="zh-CN"/>
        </w:rPr>
        <w:t>说明：根据《关于进一步放开建设项目专项业务服务价格的通知》（发改价格[2015]299号）规定，实行市场调节价，应严格遵守《价格法》、《关于商品和服务实行明码标价的规定》等法律法规的规定，由采购人和采购代理机构共同确定合理的收费金额</w:t>
      </w:r>
      <w:r>
        <w:rPr>
          <w:rFonts w:hint="eastAsia" w:ascii="宋体" w:hAnsi="宋体" w:eastAsia="宋体" w:cs="Times New Roman"/>
          <w:kern w:val="0"/>
          <w:sz w:val="24"/>
          <w:szCs w:val="28"/>
        </w:rPr>
        <w:t>。</w:t>
      </w:r>
    </w:p>
    <w:p w14:paraId="47EE171A">
      <w:pPr>
        <w:pStyle w:val="6"/>
        <w:spacing w:beforeLines="50" w:afterLines="50" w:line="360" w:lineRule="auto"/>
        <w:outlineLvl w:val="2"/>
        <w:rPr>
          <w:rFonts w:ascii="宋体" w:hAnsi="宋体" w:cs="宋体"/>
          <w:bCs w:val="0"/>
        </w:rPr>
      </w:pPr>
      <w:bookmarkStart w:id="311" w:name="_Toc8620"/>
      <w:bookmarkStart w:id="312" w:name="_Toc9186"/>
      <w:bookmarkStart w:id="313" w:name="_Toc4050"/>
      <w:bookmarkStart w:id="314" w:name="_Toc31516"/>
      <w:r>
        <w:rPr>
          <w:rFonts w:ascii="宋体" w:hAnsi="宋体" w:cs="宋体"/>
          <w:bCs w:val="0"/>
        </w:rPr>
        <w:t>2</w:t>
      </w:r>
      <w:r>
        <w:rPr>
          <w:rFonts w:hint="eastAsia" w:ascii="宋体" w:hAnsi="宋体" w:cs="宋体"/>
          <w:bCs w:val="0"/>
        </w:rPr>
        <w:t>7</w:t>
      </w:r>
      <w:r>
        <w:rPr>
          <w:rFonts w:ascii="宋体" w:hAnsi="宋体" w:cs="宋体"/>
          <w:bCs w:val="0"/>
        </w:rPr>
        <w:t>.</w:t>
      </w:r>
      <w:bookmarkEnd w:id="311"/>
      <w:r>
        <w:rPr>
          <w:rFonts w:ascii="宋体" w:hAnsi="宋体" w:cs="宋体"/>
          <w:bCs w:val="0"/>
        </w:rPr>
        <w:t>其他事宜</w:t>
      </w:r>
      <w:bookmarkEnd w:id="310"/>
      <w:bookmarkEnd w:id="312"/>
      <w:bookmarkEnd w:id="313"/>
      <w:bookmarkEnd w:id="314"/>
    </w:p>
    <w:p w14:paraId="6D49E847">
      <w:pPr>
        <w:autoSpaceDE w:val="0"/>
        <w:autoSpaceDN w:val="0"/>
        <w:snapToGrid w:val="0"/>
        <w:spacing w:line="360" w:lineRule="auto"/>
        <w:ind w:firstLine="480" w:firstLineChars="200"/>
      </w:pPr>
      <w:r>
        <w:rPr>
          <w:rFonts w:ascii="宋体" w:hAnsi="宋体"/>
          <w:kern w:val="0"/>
          <w:sz w:val="24"/>
          <w:szCs w:val="28"/>
        </w:rPr>
        <w:t>其他未尽事宜，按照《中华人民共和国政府采购法》、《中华人民共和国合同法》、《中华人民共和国政府采购法实施条例》、《政府采购竞争性磋商采购方式管理暂行办法》等法律法规的有关条款执行。</w:t>
      </w:r>
    </w:p>
    <w:p w14:paraId="69177968">
      <w:pPr>
        <w:pStyle w:val="24"/>
        <w:spacing w:before="0" w:after="0" w:line="360" w:lineRule="auto"/>
        <w:outlineLvl w:val="0"/>
        <w:rPr>
          <w:rFonts w:ascii="宋体" w:hAnsi="宋体"/>
          <w:sz w:val="48"/>
        </w:rPr>
      </w:pPr>
      <w:r>
        <w:rPr>
          <w:rFonts w:ascii="宋体" w:hAnsi="宋体"/>
          <w:sz w:val="48"/>
        </w:rPr>
        <w:br w:type="page"/>
      </w:r>
      <w:bookmarkStart w:id="315" w:name="_Toc18952"/>
      <w:bookmarkStart w:id="316" w:name="_Toc27011"/>
      <w:bookmarkStart w:id="317" w:name="_Toc4825"/>
      <w:r>
        <w:rPr>
          <w:rFonts w:hint="eastAsia" w:ascii="宋体" w:hAnsi="宋体"/>
          <w:sz w:val="48"/>
        </w:rPr>
        <w:t>第三部分 青海省政府采购合同文本样式</w:t>
      </w:r>
      <w:bookmarkEnd w:id="315"/>
      <w:bookmarkEnd w:id="316"/>
      <w:bookmarkEnd w:id="317"/>
    </w:p>
    <w:p w14:paraId="5F8377F0">
      <w:pPr>
        <w:pStyle w:val="17"/>
        <w:spacing w:line="360" w:lineRule="auto"/>
        <w:ind w:firstLine="1124" w:firstLineChars="200"/>
        <w:jc w:val="left"/>
        <w:rPr>
          <w:rFonts w:hAnsi="宋体"/>
          <w:b/>
          <w:sz w:val="56"/>
          <w:szCs w:val="72"/>
        </w:rPr>
      </w:pPr>
    </w:p>
    <w:p w14:paraId="35EFA6C7">
      <w:pPr>
        <w:spacing w:line="360" w:lineRule="auto"/>
        <w:jc w:val="center"/>
        <w:rPr>
          <w:rFonts w:ascii="宋体" w:hAnsi="宋体"/>
          <w:b/>
          <w:spacing w:val="120"/>
          <w:sz w:val="56"/>
          <w:szCs w:val="72"/>
        </w:rPr>
      </w:pPr>
    </w:p>
    <w:p w14:paraId="6E882A7A">
      <w:pPr>
        <w:spacing w:line="360" w:lineRule="auto"/>
        <w:jc w:val="center"/>
        <w:rPr>
          <w:rFonts w:ascii="宋体" w:hAnsi="宋体"/>
          <w:b/>
          <w:spacing w:val="120"/>
          <w:sz w:val="56"/>
          <w:szCs w:val="72"/>
        </w:rPr>
      </w:pPr>
    </w:p>
    <w:p w14:paraId="0D6C8ED6">
      <w:pPr>
        <w:spacing w:line="360" w:lineRule="auto"/>
        <w:jc w:val="center"/>
        <w:rPr>
          <w:rFonts w:ascii="宋体" w:hAnsi="宋体"/>
          <w:b/>
          <w:spacing w:val="120"/>
          <w:sz w:val="56"/>
          <w:szCs w:val="72"/>
        </w:rPr>
      </w:pPr>
    </w:p>
    <w:p w14:paraId="67CB35E6">
      <w:pPr>
        <w:spacing w:line="360" w:lineRule="auto"/>
        <w:jc w:val="center"/>
        <w:outlineLvl w:val="1"/>
        <w:rPr>
          <w:rFonts w:ascii="宋体" w:hAnsi="宋体"/>
          <w:b/>
          <w:bCs/>
          <w:sz w:val="72"/>
          <w:szCs w:val="50"/>
          <w:lang w:val="zh-CN"/>
        </w:rPr>
      </w:pPr>
      <w:bookmarkStart w:id="318" w:name="_Toc26128"/>
      <w:r>
        <w:rPr>
          <w:rFonts w:hint="eastAsia" w:ascii="宋体" w:hAnsi="宋体"/>
          <w:b/>
          <w:bCs/>
          <w:sz w:val="72"/>
          <w:szCs w:val="50"/>
          <w:lang w:val="zh-CN"/>
        </w:rPr>
        <w:t>青海省政府采购合同书</w:t>
      </w:r>
      <w:bookmarkEnd w:id="318"/>
    </w:p>
    <w:p w14:paraId="5189F559">
      <w:pPr>
        <w:spacing w:line="360" w:lineRule="auto"/>
        <w:rPr>
          <w:rFonts w:ascii="宋体" w:hAnsi="宋体"/>
          <w:b/>
          <w:sz w:val="56"/>
          <w:szCs w:val="72"/>
        </w:rPr>
      </w:pPr>
    </w:p>
    <w:p w14:paraId="1DCBD61D">
      <w:pPr>
        <w:spacing w:line="360" w:lineRule="auto"/>
        <w:rPr>
          <w:rFonts w:ascii="宋体" w:hAnsi="宋体"/>
          <w:b/>
          <w:sz w:val="24"/>
          <w:szCs w:val="28"/>
        </w:rPr>
      </w:pPr>
    </w:p>
    <w:p w14:paraId="7BC19174">
      <w:pPr>
        <w:spacing w:line="360" w:lineRule="auto"/>
        <w:ind w:firstLine="562" w:firstLineChars="200"/>
        <w:rPr>
          <w:rFonts w:hint="eastAsia" w:ascii="宋体" w:hAnsi="宋体" w:eastAsia="宋体" w:cs="宋体"/>
          <w:b/>
          <w:sz w:val="28"/>
          <w:szCs w:val="28"/>
          <w:u w:val="single"/>
          <w:lang w:eastAsia="zh-CN"/>
        </w:rPr>
      </w:pPr>
      <w:r>
        <w:rPr>
          <w:rFonts w:hint="eastAsia" w:ascii="宋体" w:hAnsi="宋体" w:cs="宋体"/>
          <w:b/>
          <w:sz w:val="28"/>
          <w:szCs w:val="28"/>
        </w:rPr>
        <w:t>采购项目名称：</w:t>
      </w:r>
      <w:r>
        <w:rPr>
          <w:rFonts w:hint="eastAsia" w:ascii="宋体" w:hAnsi="宋体" w:cs="宋体"/>
          <w:b/>
          <w:sz w:val="28"/>
          <w:szCs w:val="28"/>
          <w:u w:val="single"/>
          <w:lang w:eastAsia="zh-CN"/>
        </w:rPr>
        <w:t>青海省养老服务中心食堂餐饮管理服务项目</w:t>
      </w:r>
    </w:p>
    <w:p w14:paraId="2E4D1985">
      <w:pPr>
        <w:spacing w:line="360" w:lineRule="auto"/>
        <w:ind w:firstLine="562" w:firstLineChars="200"/>
        <w:rPr>
          <w:rFonts w:hint="eastAsia" w:ascii="宋体" w:hAnsi="宋体" w:eastAsia="宋体" w:cs="宋体"/>
          <w:b/>
          <w:sz w:val="28"/>
          <w:szCs w:val="28"/>
          <w:u w:val="single"/>
          <w:lang w:eastAsia="zh-CN"/>
        </w:rPr>
      </w:pPr>
      <w:r>
        <w:rPr>
          <w:rFonts w:hint="eastAsia" w:ascii="宋体" w:hAnsi="宋体" w:cs="宋体"/>
          <w:b/>
          <w:sz w:val="28"/>
          <w:szCs w:val="28"/>
        </w:rPr>
        <w:t>采购项目编号：</w:t>
      </w:r>
      <w:r>
        <w:rPr>
          <w:rFonts w:hint="eastAsia" w:ascii="宋体" w:hAnsi="宋体" w:cs="宋体"/>
          <w:b/>
          <w:sz w:val="28"/>
          <w:szCs w:val="28"/>
          <w:u w:val="single"/>
          <w:lang w:eastAsia="zh-CN"/>
        </w:rPr>
        <w:t>青海国德竞磋（服务）2025-037</w:t>
      </w:r>
    </w:p>
    <w:p w14:paraId="2B94A858">
      <w:pPr>
        <w:spacing w:line="360" w:lineRule="auto"/>
        <w:ind w:firstLine="562" w:firstLineChars="200"/>
        <w:rPr>
          <w:rFonts w:ascii="宋体" w:hAnsi="宋体" w:cs="宋体"/>
          <w:b/>
          <w:sz w:val="28"/>
          <w:szCs w:val="28"/>
          <w:u w:val="single"/>
        </w:rPr>
      </w:pPr>
      <w:r>
        <w:rPr>
          <w:rFonts w:hint="eastAsia" w:ascii="宋体" w:hAnsi="宋体" w:cs="宋体"/>
          <w:b/>
          <w:sz w:val="28"/>
          <w:szCs w:val="28"/>
        </w:rPr>
        <w:t>采购合同编号：</w:t>
      </w:r>
      <w:r>
        <w:rPr>
          <w:rFonts w:hint="eastAsia" w:ascii="宋体" w:hAnsi="宋体" w:cs="宋体"/>
          <w:b/>
          <w:sz w:val="28"/>
          <w:szCs w:val="28"/>
          <w:u w:val="single"/>
        </w:rPr>
        <w:t>QHGD-202</w:t>
      </w:r>
      <w:r>
        <w:rPr>
          <w:rFonts w:hint="eastAsia" w:ascii="宋体" w:hAnsi="宋体" w:cs="宋体"/>
          <w:b/>
          <w:sz w:val="28"/>
          <w:szCs w:val="28"/>
          <w:u w:val="single"/>
          <w:lang w:val="en-US" w:eastAsia="zh-CN"/>
        </w:rPr>
        <w:t>5</w:t>
      </w:r>
      <w:r>
        <w:rPr>
          <w:rFonts w:hint="eastAsia" w:ascii="宋体" w:hAnsi="宋体" w:cs="宋体"/>
          <w:b/>
          <w:sz w:val="28"/>
          <w:szCs w:val="28"/>
          <w:u w:val="single"/>
        </w:rPr>
        <w:t>-0</w:t>
      </w:r>
      <w:r>
        <w:rPr>
          <w:rFonts w:hint="eastAsia" w:ascii="宋体" w:hAnsi="宋体" w:cs="宋体"/>
          <w:b/>
          <w:sz w:val="28"/>
          <w:szCs w:val="28"/>
          <w:u w:val="single"/>
          <w:lang w:val="en-US" w:eastAsia="zh-CN"/>
        </w:rPr>
        <w:t>37</w:t>
      </w:r>
    </w:p>
    <w:p w14:paraId="5D27F10C">
      <w:pPr>
        <w:tabs>
          <w:tab w:val="right" w:pos="8681"/>
        </w:tabs>
        <w:spacing w:line="360" w:lineRule="auto"/>
        <w:ind w:firstLine="562" w:firstLineChars="200"/>
        <w:rPr>
          <w:rFonts w:hint="eastAsia" w:ascii="宋体" w:hAnsi="宋体" w:cs="宋体"/>
          <w:b/>
          <w:sz w:val="28"/>
          <w:szCs w:val="28"/>
          <w:u w:val="single"/>
          <w:lang w:val="en-US" w:eastAsia="zh-CN"/>
        </w:rPr>
      </w:pPr>
      <w:r>
        <w:rPr>
          <w:rFonts w:hint="eastAsia" w:ascii="宋体" w:hAnsi="宋体" w:cs="宋体"/>
          <w:b/>
          <w:sz w:val="28"/>
          <w:szCs w:val="28"/>
        </w:rPr>
        <w:t>合同金额（人民币）：</w:t>
      </w:r>
      <w:r>
        <w:rPr>
          <w:rFonts w:hint="eastAsia" w:ascii="宋体" w:hAnsi="宋体" w:cs="宋体"/>
          <w:b/>
          <w:sz w:val="28"/>
          <w:szCs w:val="28"/>
          <w:u w:val="none"/>
          <w:lang w:val="en-US" w:eastAsia="zh-CN"/>
        </w:rPr>
        <w:t xml:space="preserve"> </w:t>
      </w:r>
      <w:r>
        <w:rPr>
          <w:rFonts w:hint="eastAsia" w:ascii="宋体" w:hAnsi="宋体" w:cs="宋体"/>
          <w:b/>
          <w:sz w:val="28"/>
          <w:szCs w:val="28"/>
          <w:u w:val="single"/>
          <w:lang w:val="en-US" w:eastAsia="zh-CN"/>
        </w:rPr>
        <w:t xml:space="preserve">                     </w:t>
      </w:r>
    </w:p>
    <w:p w14:paraId="506C89CF">
      <w:pPr>
        <w:tabs>
          <w:tab w:val="right" w:pos="8681"/>
        </w:tabs>
        <w:spacing w:line="360" w:lineRule="auto"/>
        <w:ind w:firstLine="562" w:firstLineChars="200"/>
        <w:rPr>
          <w:rFonts w:ascii="宋体" w:hAnsi="宋体" w:cs="宋体"/>
          <w:b/>
          <w:sz w:val="28"/>
          <w:szCs w:val="28"/>
        </w:rPr>
      </w:pPr>
      <w:r>
        <w:rPr>
          <w:rFonts w:hint="eastAsia" w:ascii="宋体" w:hAnsi="宋体" w:cs="宋体"/>
          <w:b/>
          <w:sz w:val="28"/>
          <w:szCs w:val="28"/>
        </w:rPr>
        <w:t>采购单位（甲方）：</w:t>
      </w:r>
      <w:r>
        <w:rPr>
          <w:rFonts w:hint="eastAsia" w:ascii="宋体" w:hAnsi="宋体" w:cs="宋体"/>
          <w:b/>
          <w:sz w:val="28"/>
          <w:szCs w:val="28"/>
          <w:u w:val="single"/>
          <w:lang w:val="zh-CN"/>
        </w:rPr>
        <w:t>青海省养老服务中心</w:t>
      </w:r>
      <w:r>
        <w:rPr>
          <w:rFonts w:hint="eastAsia" w:ascii="宋体" w:hAnsi="宋体" w:cs="宋体"/>
          <w:b/>
          <w:sz w:val="28"/>
          <w:szCs w:val="28"/>
          <w:u w:val="single"/>
        </w:rPr>
        <w:t>（盖章）</w:t>
      </w:r>
    </w:p>
    <w:p w14:paraId="0A01AF1F">
      <w:pPr>
        <w:spacing w:line="360" w:lineRule="auto"/>
        <w:ind w:firstLine="562" w:firstLineChars="200"/>
        <w:rPr>
          <w:rFonts w:ascii="宋体" w:hAnsi="宋体" w:cs="宋体"/>
          <w:b/>
          <w:sz w:val="28"/>
          <w:szCs w:val="28"/>
          <w:u w:val="single"/>
        </w:rPr>
      </w:pPr>
      <w:r>
        <w:rPr>
          <w:rFonts w:hint="eastAsia" w:ascii="宋体" w:hAnsi="宋体" w:cs="宋体"/>
          <w:b/>
          <w:sz w:val="28"/>
          <w:szCs w:val="28"/>
        </w:rPr>
        <w:t>成交供应商（乙方）：</w:t>
      </w:r>
      <w:r>
        <w:rPr>
          <w:rFonts w:hint="eastAsia" w:ascii="宋体" w:hAnsi="宋体" w:cs="宋体"/>
          <w:b/>
          <w:sz w:val="28"/>
          <w:szCs w:val="28"/>
          <w:u w:val="single"/>
        </w:rPr>
        <w:t xml:space="preserve">               （盖章）</w:t>
      </w:r>
    </w:p>
    <w:p w14:paraId="5EC03D1C">
      <w:pPr>
        <w:spacing w:line="360" w:lineRule="auto"/>
        <w:ind w:firstLine="562" w:firstLineChars="200"/>
        <w:rPr>
          <w:rFonts w:ascii="宋体" w:hAnsi="宋体" w:cs="宋体"/>
          <w:b/>
          <w:sz w:val="28"/>
          <w:szCs w:val="28"/>
          <w:u w:val="single"/>
        </w:rPr>
      </w:pPr>
      <w:r>
        <w:rPr>
          <w:rFonts w:hint="eastAsia" w:ascii="宋体" w:hAnsi="宋体" w:cs="宋体"/>
          <w:b/>
          <w:sz w:val="28"/>
          <w:szCs w:val="28"/>
        </w:rPr>
        <w:t>磋商日期：</w:t>
      </w:r>
    </w:p>
    <w:p w14:paraId="6CBCF6C5">
      <w:pPr>
        <w:autoSpaceDE w:val="0"/>
        <w:autoSpaceDN w:val="0"/>
        <w:adjustRightInd w:val="0"/>
        <w:spacing w:before="13" w:line="280" w:lineRule="exact"/>
        <w:jc w:val="left"/>
        <w:rPr>
          <w:rFonts w:ascii="微软雅黑" w:eastAsia="微软雅黑" w:cs="微软雅黑"/>
          <w:kern w:val="0"/>
          <w:sz w:val="28"/>
          <w:szCs w:val="28"/>
        </w:rPr>
      </w:pPr>
    </w:p>
    <w:p w14:paraId="5F313637">
      <w:pPr>
        <w:spacing w:line="360" w:lineRule="auto"/>
        <w:rPr>
          <w:rFonts w:ascii="宋体" w:hAnsi="宋体" w:cs="Arial"/>
          <w:b/>
          <w:bCs/>
          <w:sz w:val="28"/>
          <w:szCs w:val="32"/>
          <w:lang w:val="zh-CN"/>
        </w:rPr>
      </w:pPr>
      <w:r>
        <w:rPr>
          <w:rFonts w:ascii="宋体" w:hAnsi="宋体" w:cs="微软雅黑"/>
          <w:kern w:val="0"/>
          <w:sz w:val="24"/>
        </w:rPr>
        <w:br w:type="page"/>
      </w:r>
      <w:r>
        <w:rPr>
          <w:rFonts w:hint="eastAsia" w:ascii="宋体" w:hAnsi="宋体" w:cs="Arial"/>
          <w:b/>
          <w:bCs/>
          <w:sz w:val="28"/>
          <w:szCs w:val="32"/>
          <w:lang w:val="zh-CN"/>
        </w:rPr>
        <w:t>采购单位（以下简称甲方）：</w:t>
      </w:r>
    </w:p>
    <w:p w14:paraId="143DA695">
      <w:pPr>
        <w:autoSpaceDE w:val="0"/>
        <w:autoSpaceDN w:val="0"/>
        <w:spacing w:line="360" w:lineRule="auto"/>
        <w:rPr>
          <w:rFonts w:ascii="宋体" w:hAnsi="宋体" w:cs="Arial"/>
          <w:b/>
          <w:bCs/>
          <w:sz w:val="28"/>
          <w:szCs w:val="32"/>
          <w:lang w:val="zh-CN"/>
        </w:rPr>
      </w:pPr>
      <w:r>
        <w:rPr>
          <w:rFonts w:hint="eastAsia" w:ascii="宋体" w:hAnsi="宋体" w:cs="Arial"/>
          <w:b/>
          <w:bCs/>
          <w:sz w:val="28"/>
          <w:szCs w:val="32"/>
          <w:lang w:val="zh-CN"/>
        </w:rPr>
        <w:t>供应商（以下简称乙方）：</w:t>
      </w:r>
    </w:p>
    <w:p w14:paraId="48DD3534">
      <w:pPr>
        <w:autoSpaceDE w:val="0"/>
        <w:autoSpaceDN w:val="0"/>
        <w:spacing w:line="360" w:lineRule="auto"/>
        <w:ind w:firstLine="480" w:firstLineChars="200"/>
        <w:rPr>
          <w:rFonts w:ascii="宋体" w:hAnsi="宋体" w:cs="Arial"/>
          <w:b/>
          <w:bCs/>
          <w:sz w:val="32"/>
          <w:szCs w:val="32"/>
          <w:lang w:val="zh-CN"/>
        </w:rPr>
      </w:pPr>
      <w:r>
        <w:rPr>
          <w:rFonts w:ascii="宋体" w:hAnsi="宋体" w:cs="Arial"/>
          <w:sz w:val="24"/>
          <w:lang w:val="zh-CN"/>
        </w:rPr>
        <w:t>甲、乙双方根据</w:t>
      </w:r>
      <w:r>
        <w:rPr>
          <w:rFonts w:hint="eastAsia" w:ascii="宋体" w:hAnsi="宋体" w:cs="Arial"/>
          <w:sz w:val="24"/>
          <w:u w:val="single"/>
          <w:lang w:val="zh-CN"/>
        </w:rPr>
        <w:t>青海省养老服务中心食堂餐饮管理服务项目</w:t>
      </w:r>
      <w:r>
        <w:rPr>
          <w:rFonts w:hint="eastAsia" w:ascii="宋体" w:hAnsi="宋体" w:cs="Arial"/>
          <w:sz w:val="24"/>
          <w:lang w:val="zh-CN"/>
        </w:rPr>
        <w:t>采购项目</w:t>
      </w:r>
      <w:r>
        <w:rPr>
          <w:rFonts w:hint="eastAsia" w:ascii="宋体" w:hAnsi="宋体" w:cs="Arial"/>
          <w:sz w:val="24"/>
          <w:u w:val="single"/>
          <w:lang w:val="zh-CN"/>
        </w:rPr>
        <w:t>【</w:t>
      </w:r>
      <w:r>
        <w:rPr>
          <w:rFonts w:hint="eastAsia" w:ascii="宋体" w:hAnsi="宋体" w:cs="Arial"/>
          <w:sz w:val="24"/>
          <w:u w:val="single"/>
          <w:lang w:val="en-US" w:eastAsia="zh-CN"/>
        </w:rPr>
        <w:t>项目编号：</w:t>
      </w:r>
      <w:r>
        <w:rPr>
          <w:rFonts w:hint="eastAsia" w:ascii="宋体" w:hAnsi="宋体" w:cs="Arial"/>
          <w:sz w:val="24"/>
          <w:u w:val="single"/>
          <w:lang w:val="zh-CN"/>
        </w:rPr>
        <w:t>青海国德竞磋（服务）2025-037)】</w:t>
      </w:r>
      <w:r>
        <w:rPr>
          <w:rFonts w:ascii="宋体" w:hAnsi="宋体" w:cs="Arial"/>
          <w:sz w:val="24"/>
          <w:lang w:val="zh-CN"/>
        </w:rPr>
        <w:t>的</w:t>
      </w:r>
      <w:r>
        <w:rPr>
          <w:rFonts w:hint="eastAsia" w:ascii="宋体" w:hAnsi="宋体" w:cs="Arial"/>
          <w:sz w:val="24"/>
          <w:lang w:val="zh-CN"/>
        </w:rPr>
        <w:t>磋商文件</w:t>
      </w:r>
      <w:r>
        <w:rPr>
          <w:rFonts w:ascii="宋体" w:hAnsi="宋体" w:cs="Arial"/>
          <w:sz w:val="24"/>
          <w:lang w:val="zh-CN"/>
        </w:rPr>
        <w:t>要求和采购代理机构出具的《</w:t>
      </w:r>
      <w:r>
        <w:rPr>
          <w:rFonts w:hint="eastAsia" w:ascii="宋体" w:hAnsi="宋体" w:cs="Arial"/>
          <w:sz w:val="24"/>
        </w:rPr>
        <w:t>成交</w:t>
      </w:r>
      <w:r>
        <w:rPr>
          <w:rFonts w:ascii="宋体" w:hAnsi="宋体" w:cs="Arial"/>
          <w:sz w:val="24"/>
          <w:lang w:val="zh-CN"/>
        </w:rPr>
        <w:t>通知书》，并经双方协商一致，签订本合同协议书。</w:t>
      </w:r>
    </w:p>
    <w:p w14:paraId="5E74EC29">
      <w:pPr>
        <w:autoSpaceDE w:val="0"/>
        <w:autoSpaceDN w:val="0"/>
        <w:spacing w:line="360" w:lineRule="auto"/>
        <w:outlineLvl w:val="1"/>
        <w:rPr>
          <w:rFonts w:ascii="宋体" w:hAnsi="宋体" w:cs="Arial"/>
          <w:b/>
          <w:sz w:val="24"/>
          <w:lang w:val="zh-CN"/>
        </w:rPr>
      </w:pPr>
      <w:bookmarkStart w:id="319" w:name="_Toc9742"/>
      <w:r>
        <w:rPr>
          <w:rFonts w:ascii="宋体" w:hAnsi="宋体" w:cs="Arial"/>
          <w:b/>
          <w:sz w:val="24"/>
          <w:lang w:val="zh-CN"/>
        </w:rPr>
        <w:t>一、签订本政府采购合同的依据</w:t>
      </w:r>
      <w:bookmarkEnd w:id="319"/>
    </w:p>
    <w:p w14:paraId="54C4C7D6">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本政府采购合同所附下列文件是构成本政府采购合同不可分割的部分：</w:t>
      </w:r>
    </w:p>
    <w:p w14:paraId="287C38F5">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1</w:t>
      </w:r>
      <w:r>
        <w:rPr>
          <w:rFonts w:hint="eastAsia" w:ascii="宋体" w:hAnsi="宋体" w:cs="Arial"/>
          <w:sz w:val="24"/>
          <w:lang w:val="zh-CN"/>
        </w:rPr>
        <w:t>．</w:t>
      </w:r>
      <w:r>
        <w:rPr>
          <w:rFonts w:hint="eastAsia" w:ascii="宋体" w:hAnsi="宋体" w:cs="Arial"/>
          <w:sz w:val="24"/>
        </w:rPr>
        <w:t>磋商</w:t>
      </w:r>
      <w:r>
        <w:rPr>
          <w:rFonts w:ascii="宋体" w:hAnsi="宋体" w:cs="Arial"/>
          <w:sz w:val="24"/>
          <w:lang w:val="zh-CN"/>
        </w:rPr>
        <w:t>文件；</w:t>
      </w:r>
    </w:p>
    <w:p w14:paraId="7E484ABD">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2</w:t>
      </w:r>
      <w:r>
        <w:rPr>
          <w:rFonts w:hint="eastAsia" w:ascii="宋体" w:hAnsi="宋体" w:cs="Arial"/>
          <w:sz w:val="24"/>
          <w:lang w:val="zh-CN"/>
        </w:rPr>
        <w:t>．</w:t>
      </w:r>
      <w:r>
        <w:rPr>
          <w:rFonts w:hint="eastAsia" w:ascii="宋体" w:hAnsi="宋体" w:cs="Arial"/>
          <w:sz w:val="24"/>
        </w:rPr>
        <w:t>磋商</w:t>
      </w:r>
      <w:r>
        <w:rPr>
          <w:rFonts w:ascii="宋体" w:hAnsi="宋体" w:cs="Arial"/>
          <w:sz w:val="24"/>
          <w:lang w:val="zh-CN"/>
        </w:rPr>
        <w:t>文件的</w:t>
      </w:r>
      <w:r>
        <w:rPr>
          <w:rFonts w:hint="eastAsia" w:ascii="宋体" w:hAnsi="宋体" w:cs="Arial"/>
          <w:sz w:val="24"/>
        </w:rPr>
        <w:t>澄清</w:t>
      </w:r>
      <w:r>
        <w:rPr>
          <w:rFonts w:ascii="宋体" w:hAnsi="宋体" w:cs="Arial"/>
          <w:sz w:val="24"/>
          <w:lang w:val="zh-CN"/>
        </w:rPr>
        <w:t>、变更公告；</w:t>
      </w:r>
    </w:p>
    <w:p w14:paraId="42762CEE">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3</w:t>
      </w:r>
      <w:r>
        <w:rPr>
          <w:rFonts w:hint="eastAsia" w:ascii="宋体" w:hAnsi="宋体" w:cs="Arial"/>
          <w:sz w:val="24"/>
          <w:lang w:val="zh-CN"/>
        </w:rPr>
        <w:t>．</w:t>
      </w:r>
      <w:r>
        <w:rPr>
          <w:rFonts w:hint="eastAsia" w:ascii="宋体" w:hAnsi="宋体" w:cs="Arial"/>
          <w:sz w:val="24"/>
        </w:rPr>
        <w:t>成交</w:t>
      </w:r>
      <w:r>
        <w:rPr>
          <w:rFonts w:ascii="宋体" w:hAnsi="宋体" w:cs="Arial"/>
          <w:sz w:val="24"/>
          <w:lang w:val="zh-CN"/>
        </w:rPr>
        <w:t>供应商提交的</w:t>
      </w:r>
      <w:r>
        <w:rPr>
          <w:rFonts w:hint="eastAsia" w:ascii="宋体" w:hAnsi="宋体" w:cs="Arial"/>
          <w:sz w:val="24"/>
        </w:rPr>
        <w:t>响应</w:t>
      </w:r>
      <w:r>
        <w:rPr>
          <w:rFonts w:ascii="宋体" w:hAnsi="宋体" w:cs="Arial"/>
          <w:sz w:val="24"/>
          <w:lang w:val="zh-CN"/>
        </w:rPr>
        <w:t>文件；</w:t>
      </w:r>
    </w:p>
    <w:p w14:paraId="64D9A9BE">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4</w:t>
      </w:r>
      <w:r>
        <w:rPr>
          <w:rFonts w:hint="eastAsia" w:ascii="宋体" w:hAnsi="宋体" w:cs="Arial"/>
          <w:sz w:val="24"/>
          <w:lang w:val="zh-CN"/>
        </w:rPr>
        <w:t>．</w:t>
      </w:r>
      <w:r>
        <w:rPr>
          <w:rFonts w:hint="eastAsia" w:ascii="宋体" w:hAnsi="宋体" w:cs="Arial"/>
          <w:sz w:val="24"/>
        </w:rPr>
        <w:t>磋商</w:t>
      </w:r>
      <w:r>
        <w:rPr>
          <w:rFonts w:ascii="宋体" w:hAnsi="宋体" w:cs="Arial"/>
          <w:sz w:val="24"/>
          <w:lang w:val="zh-CN"/>
        </w:rPr>
        <w:t>文件中规定的政府采购合同通用条款；</w:t>
      </w:r>
    </w:p>
    <w:p w14:paraId="210079DB">
      <w:pPr>
        <w:autoSpaceDE w:val="0"/>
        <w:autoSpaceDN w:val="0"/>
        <w:spacing w:line="360" w:lineRule="auto"/>
        <w:ind w:firstLine="480" w:firstLineChars="200"/>
        <w:rPr>
          <w:rFonts w:ascii="宋体" w:hAnsi="宋体" w:cs="Arial"/>
          <w:sz w:val="24"/>
          <w:lang w:val="zh-CN"/>
        </w:rPr>
      </w:pPr>
      <w:r>
        <w:rPr>
          <w:rFonts w:ascii="宋体" w:hAnsi="宋体" w:cs="Arial"/>
          <w:sz w:val="24"/>
          <w:lang w:val="zh-CN"/>
        </w:rPr>
        <w:t>5</w:t>
      </w:r>
      <w:r>
        <w:rPr>
          <w:rFonts w:hint="eastAsia" w:ascii="宋体" w:hAnsi="宋体" w:cs="Arial"/>
          <w:sz w:val="24"/>
          <w:lang w:val="zh-CN"/>
        </w:rPr>
        <w:t>．</w:t>
      </w:r>
      <w:r>
        <w:rPr>
          <w:rFonts w:hint="eastAsia" w:ascii="宋体" w:hAnsi="宋体" w:cs="Arial"/>
          <w:sz w:val="24"/>
        </w:rPr>
        <w:t>成交</w:t>
      </w:r>
      <w:r>
        <w:rPr>
          <w:rFonts w:ascii="宋体" w:hAnsi="宋体" w:cs="Arial"/>
          <w:sz w:val="24"/>
          <w:lang w:val="zh-CN"/>
        </w:rPr>
        <w:t>通知书</w:t>
      </w:r>
      <w:r>
        <w:rPr>
          <w:rFonts w:hint="eastAsia" w:ascii="宋体" w:hAnsi="宋体" w:cs="Arial"/>
          <w:sz w:val="24"/>
          <w:lang w:val="zh-CN"/>
        </w:rPr>
        <w:t>。</w:t>
      </w:r>
    </w:p>
    <w:p w14:paraId="3E9E12BD">
      <w:pPr>
        <w:autoSpaceDE w:val="0"/>
        <w:autoSpaceDN w:val="0"/>
        <w:spacing w:line="360" w:lineRule="auto"/>
        <w:outlineLvl w:val="1"/>
        <w:rPr>
          <w:rFonts w:ascii="宋体" w:hAnsi="宋体" w:cs="Arial"/>
          <w:sz w:val="24"/>
          <w:lang w:val="zh-CN"/>
        </w:rPr>
      </w:pPr>
      <w:bookmarkStart w:id="320" w:name="_Toc11096"/>
      <w:r>
        <w:rPr>
          <w:rFonts w:ascii="宋体" w:hAnsi="宋体" w:cs="Arial"/>
          <w:b/>
          <w:sz w:val="24"/>
          <w:lang w:val="zh-CN"/>
        </w:rPr>
        <w:t>二、合同标的及金额</w:t>
      </w:r>
      <w:r>
        <w:rPr>
          <w:rFonts w:ascii="宋体" w:hAnsi="宋体" w:cs="Arial"/>
          <w:sz w:val="24"/>
          <w:lang w:val="zh-CN"/>
        </w:rPr>
        <w:t xml:space="preserve">            单位：元</w:t>
      </w:r>
      <w:bookmarkEnd w:id="320"/>
    </w:p>
    <w:tbl>
      <w:tblPr>
        <w:tblStyle w:val="33"/>
        <w:tblW w:w="9544" w:type="dxa"/>
        <w:jc w:val="center"/>
        <w:tblLayout w:type="fixed"/>
        <w:tblCellMar>
          <w:top w:w="0" w:type="dxa"/>
          <w:left w:w="108" w:type="dxa"/>
          <w:bottom w:w="0" w:type="dxa"/>
          <w:right w:w="108" w:type="dxa"/>
        </w:tblCellMar>
      </w:tblPr>
      <w:tblGrid>
        <w:gridCol w:w="796"/>
        <w:gridCol w:w="1717"/>
        <w:gridCol w:w="2002"/>
        <w:gridCol w:w="1482"/>
        <w:gridCol w:w="1121"/>
        <w:gridCol w:w="1259"/>
        <w:gridCol w:w="1167"/>
      </w:tblGrid>
      <w:tr w14:paraId="043CC47B">
        <w:tblPrEx>
          <w:tblCellMar>
            <w:top w:w="0" w:type="dxa"/>
            <w:left w:w="108" w:type="dxa"/>
            <w:bottom w:w="0" w:type="dxa"/>
            <w:right w:w="108" w:type="dxa"/>
          </w:tblCellMar>
        </w:tblPrEx>
        <w:trPr>
          <w:cantSplit/>
          <w:trHeight w:val="538"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14:paraId="5D5ECE3B">
            <w:pPr>
              <w:autoSpaceDE w:val="0"/>
              <w:autoSpaceDN w:val="0"/>
              <w:snapToGrid w:val="0"/>
              <w:spacing w:before="195" w:line="263" w:lineRule="exact"/>
              <w:jc w:val="center"/>
              <w:rPr>
                <w:rFonts w:ascii="宋体" w:hAnsi="宋体" w:cs="宋体"/>
                <w:color w:val="000000"/>
                <w:kern w:val="0"/>
                <w:sz w:val="24"/>
                <w:lang w:val="zh-CN"/>
              </w:rPr>
            </w:pPr>
            <w:r>
              <w:rPr>
                <w:rFonts w:hint="eastAsia" w:ascii="宋体" w:hAnsi="宋体" w:cs="宋体"/>
                <w:color w:val="000000"/>
                <w:kern w:val="0"/>
                <w:sz w:val="24"/>
              </w:rPr>
              <w:t>序号</w:t>
            </w:r>
          </w:p>
        </w:tc>
        <w:tc>
          <w:tcPr>
            <w:tcW w:w="1717" w:type="dxa"/>
            <w:tcBorders>
              <w:top w:val="single" w:color="auto" w:sz="4" w:space="0"/>
              <w:left w:val="single" w:color="auto" w:sz="4" w:space="0"/>
              <w:bottom w:val="single" w:color="auto" w:sz="4" w:space="0"/>
              <w:right w:val="single" w:color="auto" w:sz="4" w:space="0"/>
            </w:tcBorders>
            <w:vAlign w:val="center"/>
          </w:tcPr>
          <w:p w14:paraId="5B969E60">
            <w:pPr>
              <w:autoSpaceDE w:val="0"/>
              <w:autoSpaceDN w:val="0"/>
              <w:snapToGrid w:val="0"/>
              <w:spacing w:before="195" w:line="263" w:lineRule="exact"/>
              <w:jc w:val="center"/>
              <w:rPr>
                <w:rFonts w:ascii="宋体" w:hAnsi="宋体" w:cs="宋体"/>
                <w:color w:val="000000"/>
                <w:kern w:val="0"/>
                <w:sz w:val="24"/>
                <w:lang w:val="zh-CN"/>
              </w:rPr>
            </w:pPr>
            <w:r>
              <w:rPr>
                <w:rFonts w:ascii="宋体" w:hAnsi="宋体" w:cs="宋体"/>
                <w:color w:val="000000"/>
                <w:kern w:val="0"/>
                <w:sz w:val="24"/>
                <w:lang w:val="zh-CN"/>
              </w:rPr>
              <w:t>标的名称</w:t>
            </w:r>
          </w:p>
        </w:tc>
        <w:tc>
          <w:tcPr>
            <w:tcW w:w="2002" w:type="dxa"/>
            <w:tcBorders>
              <w:top w:val="single" w:color="auto" w:sz="4" w:space="0"/>
              <w:left w:val="single" w:color="auto" w:sz="4" w:space="0"/>
              <w:bottom w:val="single" w:color="auto" w:sz="4" w:space="0"/>
              <w:right w:val="single" w:color="auto" w:sz="4" w:space="0"/>
            </w:tcBorders>
            <w:vAlign w:val="center"/>
          </w:tcPr>
          <w:p w14:paraId="6C91FADC">
            <w:pPr>
              <w:autoSpaceDE w:val="0"/>
              <w:autoSpaceDN w:val="0"/>
              <w:snapToGrid w:val="0"/>
              <w:spacing w:before="195" w:line="263" w:lineRule="exact"/>
              <w:jc w:val="center"/>
              <w:rPr>
                <w:rFonts w:ascii="宋体" w:hAnsi="宋体" w:cs="宋体"/>
                <w:color w:val="000000"/>
                <w:kern w:val="0"/>
                <w:sz w:val="24"/>
                <w:lang w:val="zh-CN"/>
              </w:rPr>
            </w:pPr>
            <w:r>
              <w:rPr>
                <w:rFonts w:hint="eastAsia" w:ascii="宋体" w:hAnsi="宋体" w:cs="宋体"/>
                <w:color w:val="000000"/>
                <w:kern w:val="0"/>
                <w:sz w:val="24"/>
                <w:lang w:val="zh-CN"/>
              </w:rPr>
              <w:t>服务</w:t>
            </w:r>
            <w:r>
              <w:rPr>
                <w:rFonts w:hint="eastAsia" w:ascii="宋体" w:hAnsi="宋体" w:cs="宋体"/>
                <w:color w:val="000000"/>
                <w:kern w:val="0"/>
                <w:sz w:val="24"/>
              </w:rPr>
              <w:t>内容</w:t>
            </w:r>
          </w:p>
        </w:tc>
        <w:tc>
          <w:tcPr>
            <w:tcW w:w="1482" w:type="dxa"/>
            <w:tcBorders>
              <w:top w:val="single" w:color="auto" w:sz="4" w:space="0"/>
              <w:left w:val="single" w:color="auto" w:sz="4" w:space="0"/>
              <w:bottom w:val="single" w:color="auto" w:sz="4" w:space="0"/>
              <w:right w:val="single" w:color="auto" w:sz="4" w:space="0"/>
            </w:tcBorders>
            <w:vAlign w:val="center"/>
          </w:tcPr>
          <w:p w14:paraId="2F424DDB">
            <w:pPr>
              <w:autoSpaceDE w:val="0"/>
              <w:autoSpaceDN w:val="0"/>
              <w:snapToGrid w:val="0"/>
              <w:spacing w:before="195" w:line="263" w:lineRule="exact"/>
              <w:jc w:val="center"/>
              <w:rPr>
                <w:rFonts w:ascii="宋体" w:hAnsi="宋体" w:cs="宋体"/>
                <w:color w:val="000000"/>
                <w:kern w:val="0"/>
                <w:sz w:val="24"/>
                <w:lang w:val="zh-CN"/>
              </w:rPr>
            </w:pPr>
            <w:r>
              <w:rPr>
                <w:rFonts w:ascii="宋体" w:hAnsi="宋体" w:cs="宋体"/>
                <w:color w:val="000000"/>
                <w:kern w:val="0"/>
                <w:sz w:val="24"/>
                <w:lang w:val="zh-CN"/>
              </w:rPr>
              <w:t>数量</w:t>
            </w:r>
          </w:p>
        </w:tc>
        <w:tc>
          <w:tcPr>
            <w:tcW w:w="1121" w:type="dxa"/>
            <w:tcBorders>
              <w:top w:val="single" w:color="auto" w:sz="4" w:space="0"/>
              <w:left w:val="single" w:color="auto" w:sz="4" w:space="0"/>
              <w:bottom w:val="single" w:color="auto" w:sz="4" w:space="0"/>
              <w:right w:val="single" w:color="auto" w:sz="4" w:space="0"/>
            </w:tcBorders>
            <w:vAlign w:val="center"/>
          </w:tcPr>
          <w:p w14:paraId="7B049B21">
            <w:pPr>
              <w:autoSpaceDE w:val="0"/>
              <w:autoSpaceDN w:val="0"/>
              <w:snapToGrid w:val="0"/>
              <w:spacing w:before="195" w:line="263" w:lineRule="exact"/>
              <w:jc w:val="center"/>
              <w:rPr>
                <w:rFonts w:ascii="宋体" w:hAnsi="宋体" w:cs="宋体"/>
                <w:color w:val="000000"/>
                <w:kern w:val="0"/>
                <w:sz w:val="24"/>
                <w:lang w:val="zh-CN"/>
              </w:rPr>
            </w:pPr>
            <w:r>
              <w:rPr>
                <w:rFonts w:ascii="宋体" w:hAnsi="宋体" w:cs="宋体"/>
                <w:color w:val="000000"/>
                <w:kern w:val="0"/>
                <w:sz w:val="24"/>
                <w:lang w:val="zh-CN"/>
              </w:rPr>
              <w:t>单价</w:t>
            </w:r>
          </w:p>
        </w:tc>
        <w:tc>
          <w:tcPr>
            <w:tcW w:w="1259" w:type="dxa"/>
            <w:tcBorders>
              <w:top w:val="single" w:color="auto" w:sz="4" w:space="0"/>
              <w:left w:val="single" w:color="auto" w:sz="4" w:space="0"/>
              <w:bottom w:val="single" w:color="auto" w:sz="4" w:space="0"/>
              <w:right w:val="single" w:color="auto" w:sz="4" w:space="0"/>
            </w:tcBorders>
            <w:vAlign w:val="center"/>
          </w:tcPr>
          <w:p w14:paraId="0ECEE63A">
            <w:pPr>
              <w:autoSpaceDE w:val="0"/>
              <w:autoSpaceDN w:val="0"/>
              <w:snapToGrid w:val="0"/>
              <w:spacing w:before="195" w:line="263" w:lineRule="exact"/>
              <w:jc w:val="center"/>
              <w:rPr>
                <w:rFonts w:ascii="宋体" w:hAnsi="宋体" w:cs="宋体"/>
                <w:color w:val="000000"/>
                <w:kern w:val="0"/>
                <w:sz w:val="24"/>
                <w:lang w:val="zh-CN"/>
              </w:rPr>
            </w:pPr>
            <w:r>
              <w:rPr>
                <w:rFonts w:ascii="宋体" w:hAnsi="宋体" w:cs="宋体"/>
                <w:color w:val="000000"/>
                <w:kern w:val="0"/>
                <w:sz w:val="24"/>
                <w:lang w:val="zh-CN"/>
              </w:rPr>
              <w:t>总价</w:t>
            </w:r>
          </w:p>
        </w:tc>
        <w:tc>
          <w:tcPr>
            <w:tcW w:w="1167" w:type="dxa"/>
            <w:tcBorders>
              <w:top w:val="single" w:color="auto" w:sz="4" w:space="0"/>
              <w:left w:val="single" w:color="auto" w:sz="4" w:space="0"/>
              <w:bottom w:val="single" w:color="auto" w:sz="4" w:space="0"/>
              <w:right w:val="single" w:color="auto" w:sz="4" w:space="0"/>
            </w:tcBorders>
            <w:vAlign w:val="center"/>
          </w:tcPr>
          <w:p w14:paraId="74433974">
            <w:pPr>
              <w:autoSpaceDE w:val="0"/>
              <w:autoSpaceDN w:val="0"/>
              <w:snapToGrid w:val="0"/>
              <w:spacing w:before="195" w:line="263" w:lineRule="exact"/>
              <w:jc w:val="center"/>
              <w:rPr>
                <w:rFonts w:ascii="宋体" w:hAnsi="宋体" w:cs="宋体"/>
                <w:color w:val="000000"/>
                <w:kern w:val="0"/>
                <w:sz w:val="24"/>
                <w:lang w:val="zh-CN"/>
              </w:rPr>
            </w:pPr>
            <w:r>
              <w:rPr>
                <w:rFonts w:ascii="宋体" w:hAnsi="宋体" w:cs="宋体"/>
                <w:color w:val="000000"/>
                <w:kern w:val="0"/>
                <w:sz w:val="24"/>
                <w:lang w:val="zh-CN"/>
              </w:rPr>
              <w:t>备注</w:t>
            </w:r>
          </w:p>
        </w:tc>
      </w:tr>
      <w:tr w14:paraId="08927D5C">
        <w:tblPrEx>
          <w:tblCellMar>
            <w:top w:w="0" w:type="dxa"/>
            <w:left w:w="108" w:type="dxa"/>
            <w:bottom w:w="0" w:type="dxa"/>
            <w:right w:w="108" w:type="dxa"/>
          </w:tblCellMar>
        </w:tblPrEx>
        <w:trPr>
          <w:cantSplit/>
          <w:trHeight w:val="538"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14:paraId="51AD6FA3">
            <w:pPr>
              <w:autoSpaceDE w:val="0"/>
              <w:autoSpaceDN w:val="0"/>
              <w:snapToGrid w:val="0"/>
              <w:spacing w:before="195" w:line="263" w:lineRule="exact"/>
              <w:jc w:val="center"/>
              <w:rPr>
                <w:rFonts w:ascii="宋体" w:hAnsi="宋体" w:cs="宋体"/>
                <w:color w:val="000000"/>
                <w:kern w:val="0"/>
                <w:sz w:val="24"/>
                <w:lang w:val="zh-CN"/>
              </w:rPr>
            </w:pPr>
            <w:r>
              <w:rPr>
                <w:rFonts w:hint="eastAsia" w:ascii="宋体" w:hAnsi="宋体" w:cs="宋体"/>
                <w:color w:val="000000"/>
                <w:kern w:val="0"/>
                <w:sz w:val="24"/>
                <w:lang w:val="zh-CN"/>
              </w:rPr>
              <w:t>1</w:t>
            </w:r>
          </w:p>
        </w:tc>
        <w:tc>
          <w:tcPr>
            <w:tcW w:w="1717" w:type="dxa"/>
            <w:tcBorders>
              <w:top w:val="single" w:color="auto" w:sz="4" w:space="0"/>
              <w:left w:val="single" w:color="auto" w:sz="4" w:space="0"/>
              <w:bottom w:val="single" w:color="auto" w:sz="4" w:space="0"/>
              <w:right w:val="single" w:color="auto" w:sz="4" w:space="0"/>
            </w:tcBorders>
            <w:vAlign w:val="center"/>
          </w:tcPr>
          <w:p w14:paraId="007ED8AC">
            <w:pPr>
              <w:autoSpaceDE w:val="0"/>
              <w:autoSpaceDN w:val="0"/>
              <w:snapToGrid w:val="0"/>
              <w:spacing w:before="195" w:line="263" w:lineRule="exact"/>
              <w:ind w:left="170"/>
              <w:jc w:val="center"/>
              <w:rPr>
                <w:rFonts w:ascii="宋体" w:hAnsi="宋体" w:cs="宋体"/>
                <w:color w:val="000000"/>
                <w:kern w:val="0"/>
                <w:sz w:val="24"/>
                <w:lang w:val="zh-CN"/>
              </w:rPr>
            </w:pPr>
          </w:p>
        </w:tc>
        <w:tc>
          <w:tcPr>
            <w:tcW w:w="2002" w:type="dxa"/>
            <w:tcBorders>
              <w:top w:val="single" w:color="auto" w:sz="4" w:space="0"/>
              <w:left w:val="single" w:color="auto" w:sz="4" w:space="0"/>
              <w:bottom w:val="single" w:color="auto" w:sz="4" w:space="0"/>
              <w:right w:val="single" w:color="auto" w:sz="4" w:space="0"/>
            </w:tcBorders>
            <w:vAlign w:val="center"/>
          </w:tcPr>
          <w:p w14:paraId="5EBB9AAA">
            <w:pPr>
              <w:autoSpaceDE w:val="0"/>
              <w:autoSpaceDN w:val="0"/>
              <w:snapToGrid w:val="0"/>
              <w:spacing w:before="195" w:line="263" w:lineRule="exact"/>
              <w:ind w:left="170"/>
              <w:jc w:val="center"/>
              <w:rPr>
                <w:rFonts w:ascii="宋体" w:hAnsi="宋体" w:cs="宋体"/>
                <w:color w:val="000000"/>
                <w:kern w:val="0"/>
                <w:sz w:val="24"/>
                <w:lang w:val="zh-CN"/>
              </w:rPr>
            </w:pPr>
          </w:p>
        </w:tc>
        <w:tc>
          <w:tcPr>
            <w:tcW w:w="1482" w:type="dxa"/>
            <w:tcBorders>
              <w:top w:val="single" w:color="auto" w:sz="4" w:space="0"/>
              <w:left w:val="single" w:color="auto" w:sz="4" w:space="0"/>
              <w:bottom w:val="single" w:color="auto" w:sz="4" w:space="0"/>
              <w:right w:val="single" w:color="auto" w:sz="4" w:space="0"/>
            </w:tcBorders>
            <w:vAlign w:val="center"/>
          </w:tcPr>
          <w:p w14:paraId="20F31407">
            <w:pPr>
              <w:autoSpaceDE w:val="0"/>
              <w:autoSpaceDN w:val="0"/>
              <w:snapToGrid w:val="0"/>
              <w:spacing w:before="195" w:line="263" w:lineRule="exact"/>
              <w:ind w:left="170"/>
              <w:jc w:val="center"/>
              <w:rPr>
                <w:rFonts w:ascii="宋体" w:hAnsi="宋体" w:cs="宋体"/>
                <w:color w:val="000000"/>
                <w:kern w:val="0"/>
                <w:sz w:val="24"/>
                <w:lang w:val="zh-CN"/>
              </w:rPr>
            </w:pPr>
          </w:p>
        </w:tc>
        <w:tc>
          <w:tcPr>
            <w:tcW w:w="1121" w:type="dxa"/>
            <w:tcBorders>
              <w:top w:val="single" w:color="auto" w:sz="4" w:space="0"/>
              <w:left w:val="single" w:color="auto" w:sz="4" w:space="0"/>
              <w:bottom w:val="single" w:color="auto" w:sz="4" w:space="0"/>
              <w:right w:val="single" w:color="auto" w:sz="4" w:space="0"/>
            </w:tcBorders>
            <w:vAlign w:val="center"/>
          </w:tcPr>
          <w:p w14:paraId="6FD448BA">
            <w:pPr>
              <w:autoSpaceDE w:val="0"/>
              <w:autoSpaceDN w:val="0"/>
              <w:snapToGrid w:val="0"/>
              <w:spacing w:before="195" w:line="263" w:lineRule="exact"/>
              <w:ind w:left="170"/>
              <w:jc w:val="center"/>
              <w:rPr>
                <w:rFonts w:ascii="宋体" w:hAnsi="宋体" w:cs="宋体"/>
                <w:color w:val="000000"/>
                <w:kern w:val="0"/>
                <w:sz w:val="24"/>
                <w:lang w:val="zh-CN"/>
              </w:rPr>
            </w:pPr>
          </w:p>
        </w:tc>
        <w:tc>
          <w:tcPr>
            <w:tcW w:w="1259" w:type="dxa"/>
            <w:tcBorders>
              <w:top w:val="single" w:color="auto" w:sz="4" w:space="0"/>
              <w:left w:val="single" w:color="auto" w:sz="4" w:space="0"/>
              <w:bottom w:val="single" w:color="auto" w:sz="4" w:space="0"/>
              <w:right w:val="single" w:color="auto" w:sz="4" w:space="0"/>
            </w:tcBorders>
            <w:vAlign w:val="center"/>
          </w:tcPr>
          <w:p w14:paraId="213B07DA">
            <w:pPr>
              <w:autoSpaceDE w:val="0"/>
              <w:autoSpaceDN w:val="0"/>
              <w:snapToGrid w:val="0"/>
              <w:spacing w:before="195" w:line="263" w:lineRule="exact"/>
              <w:ind w:left="170"/>
              <w:jc w:val="center"/>
              <w:rPr>
                <w:rFonts w:ascii="宋体" w:hAnsi="宋体" w:cs="宋体"/>
                <w:color w:val="000000"/>
                <w:kern w:val="0"/>
                <w:sz w:val="24"/>
                <w:lang w:val="zh-CN"/>
              </w:rPr>
            </w:pPr>
          </w:p>
        </w:tc>
        <w:tc>
          <w:tcPr>
            <w:tcW w:w="1167" w:type="dxa"/>
            <w:tcBorders>
              <w:top w:val="single" w:color="auto" w:sz="4" w:space="0"/>
              <w:left w:val="single" w:color="auto" w:sz="4" w:space="0"/>
              <w:bottom w:val="single" w:color="auto" w:sz="4" w:space="0"/>
              <w:right w:val="single" w:color="auto" w:sz="4" w:space="0"/>
            </w:tcBorders>
            <w:vAlign w:val="center"/>
          </w:tcPr>
          <w:p w14:paraId="7764090C">
            <w:pPr>
              <w:autoSpaceDE w:val="0"/>
              <w:autoSpaceDN w:val="0"/>
              <w:snapToGrid w:val="0"/>
              <w:spacing w:before="195" w:line="263" w:lineRule="exact"/>
              <w:ind w:left="170"/>
              <w:jc w:val="center"/>
              <w:rPr>
                <w:rFonts w:ascii="宋体" w:hAnsi="宋体" w:cs="宋体"/>
                <w:color w:val="000000"/>
                <w:kern w:val="0"/>
                <w:sz w:val="24"/>
                <w:lang w:val="zh-CN"/>
              </w:rPr>
            </w:pPr>
          </w:p>
        </w:tc>
      </w:tr>
      <w:tr w14:paraId="1D2171F9">
        <w:tblPrEx>
          <w:tblCellMar>
            <w:top w:w="0" w:type="dxa"/>
            <w:left w:w="108" w:type="dxa"/>
            <w:bottom w:w="0" w:type="dxa"/>
            <w:right w:w="108" w:type="dxa"/>
          </w:tblCellMar>
        </w:tblPrEx>
        <w:trPr>
          <w:cantSplit/>
          <w:trHeight w:val="538"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14:paraId="5BF09E0C">
            <w:pPr>
              <w:autoSpaceDE w:val="0"/>
              <w:autoSpaceDN w:val="0"/>
              <w:snapToGrid w:val="0"/>
              <w:spacing w:before="195" w:line="263" w:lineRule="exact"/>
              <w:jc w:val="center"/>
              <w:rPr>
                <w:rFonts w:ascii="宋体" w:hAnsi="宋体" w:cs="宋体"/>
                <w:color w:val="000000"/>
                <w:kern w:val="0"/>
                <w:sz w:val="24"/>
                <w:lang w:val="zh-CN"/>
              </w:rPr>
            </w:pPr>
            <w:r>
              <w:rPr>
                <w:rFonts w:hint="eastAsia" w:ascii="宋体" w:hAnsi="宋体" w:cs="宋体"/>
                <w:color w:val="000000"/>
                <w:kern w:val="0"/>
                <w:sz w:val="24"/>
                <w:lang w:val="zh-CN"/>
              </w:rPr>
              <w:t>2</w:t>
            </w:r>
          </w:p>
        </w:tc>
        <w:tc>
          <w:tcPr>
            <w:tcW w:w="1717" w:type="dxa"/>
            <w:tcBorders>
              <w:top w:val="single" w:color="auto" w:sz="4" w:space="0"/>
              <w:left w:val="single" w:color="auto" w:sz="4" w:space="0"/>
              <w:bottom w:val="single" w:color="auto" w:sz="4" w:space="0"/>
              <w:right w:val="single" w:color="auto" w:sz="4" w:space="0"/>
            </w:tcBorders>
            <w:vAlign w:val="center"/>
          </w:tcPr>
          <w:p w14:paraId="7B52269A">
            <w:pPr>
              <w:autoSpaceDE w:val="0"/>
              <w:autoSpaceDN w:val="0"/>
              <w:snapToGrid w:val="0"/>
              <w:spacing w:before="195" w:line="263" w:lineRule="exact"/>
              <w:ind w:left="170"/>
              <w:jc w:val="center"/>
              <w:rPr>
                <w:rFonts w:ascii="宋体" w:hAnsi="宋体" w:cs="宋体"/>
                <w:color w:val="000000"/>
                <w:kern w:val="0"/>
                <w:sz w:val="24"/>
                <w:lang w:val="zh-CN"/>
              </w:rPr>
            </w:pPr>
          </w:p>
        </w:tc>
        <w:tc>
          <w:tcPr>
            <w:tcW w:w="2002" w:type="dxa"/>
            <w:tcBorders>
              <w:top w:val="single" w:color="auto" w:sz="4" w:space="0"/>
              <w:left w:val="single" w:color="auto" w:sz="4" w:space="0"/>
              <w:bottom w:val="single" w:color="auto" w:sz="4" w:space="0"/>
              <w:right w:val="single" w:color="auto" w:sz="4" w:space="0"/>
            </w:tcBorders>
            <w:vAlign w:val="center"/>
          </w:tcPr>
          <w:p w14:paraId="7B4C095E">
            <w:pPr>
              <w:autoSpaceDE w:val="0"/>
              <w:autoSpaceDN w:val="0"/>
              <w:snapToGrid w:val="0"/>
              <w:spacing w:before="195" w:line="263" w:lineRule="exact"/>
              <w:ind w:left="170"/>
              <w:jc w:val="center"/>
              <w:rPr>
                <w:rFonts w:ascii="宋体" w:hAnsi="宋体" w:cs="宋体"/>
                <w:color w:val="000000"/>
                <w:kern w:val="0"/>
                <w:sz w:val="24"/>
                <w:lang w:val="zh-CN"/>
              </w:rPr>
            </w:pPr>
          </w:p>
        </w:tc>
        <w:tc>
          <w:tcPr>
            <w:tcW w:w="1482" w:type="dxa"/>
            <w:tcBorders>
              <w:top w:val="single" w:color="auto" w:sz="4" w:space="0"/>
              <w:left w:val="single" w:color="auto" w:sz="4" w:space="0"/>
              <w:bottom w:val="single" w:color="auto" w:sz="4" w:space="0"/>
              <w:right w:val="single" w:color="auto" w:sz="4" w:space="0"/>
            </w:tcBorders>
            <w:vAlign w:val="center"/>
          </w:tcPr>
          <w:p w14:paraId="4E529CD2">
            <w:pPr>
              <w:autoSpaceDE w:val="0"/>
              <w:autoSpaceDN w:val="0"/>
              <w:snapToGrid w:val="0"/>
              <w:spacing w:before="195" w:line="263" w:lineRule="exact"/>
              <w:ind w:left="170"/>
              <w:jc w:val="center"/>
              <w:rPr>
                <w:rFonts w:ascii="宋体" w:hAnsi="宋体" w:cs="宋体"/>
                <w:color w:val="000000"/>
                <w:kern w:val="0"/>
                <w:sz w:val="24"/>
                <w:lang w:val="zh-CN"/>
              </w:rPr>
            </w:pPr>
          </w:p>
        </w:tc>
        <w:tc>
          <w:tcPr>
            <w:tcW w:w="1121" w:type="dxa"/>
            <w:tcBorders>
              <w:top w:val="single" w:color="auto" w:sz="4" w:space="0"/>
              <w:left w:val="single" w:color="auto" w:sz="4" w:space="0"/>
              <w:bottom w:val="single" w:color="auto" w:sz="4" w:space="0"/>
              <w:right w:val="single" w:color="auto" w:sz="4" w:space="0"/>
            </w:tcBorders>
            <w:vAlign w:val="center"/>
          </w:tcPr>
          <w:p w14:paraId="22CE3A36">
            <w:pPr>
              <w:autoSpaceDE w:val="0"/>
              <w:autoSpaceDN w:val="0"/>
              <w:snapToGrid w:val="0"/>
              <w:spacing w:before="195" w:line="263" w:lineRule="exact"/>
              <w:ind w:left="170"/>
              <w:jc w:val="center"/>
              <w:rPr>
                <w:rFonts w:ascii="宋体" w:hAnsi="宋体" w:cs="宋体"/>
                <w:color w:val="000000"/>
                <w:kern w:val="0"/>
                <w:sz w:val="24"/>
                <w:lang w:val="zh-CN"/>
              </w:rPr>
            </w:pPr>
          </w:p>
        </w:tc>
        <w:tc>
          <w:tcPr>
            <w:tcW w:w="1259" w:type="dxa"/>
            <w:tcBorders>
              <w:top w:val="single" w:color="auto" w:sz="4" w:space="0"/>
              <w:left w:val="single" w:color="auto" w:sz="4" w:space="0"/>
              <w:bottom w:val="single" w:color="auto" w:sz="4" w:space="0"/>
              <w:right w:val="single" w:color="auto" w:sz="4" w:space="0"/>
            </w:tcBorders>
            <w:vAlign w:val="center"/>
          </w:tcPr>
          <w:p w14:paraId="640344CF">
            <w:pPr>
              <w:autoSpaceDE w:val="0"/>
              <w:autoSpaceDN w:val="0"/>
              <w:snapToGrid w:val="0"/>
              <w:spacing w:before="195" w:line="263" w:lineRule="exact"/>
              <w:ind w:left="170"/>
              <w:jc w:val="center"/>
              <w:rPr>
                <w:rFonts w:ascii="宋体" w:hAnsi="宋体" w:cs="宋体"/>
                <w:color w:val="000000"/>
                <w:kern w:val="0"/>
                <w:sz w:val="24"/>
                <w:lang w:val="zh-CN"/>
              </w:rPr>
            </w:pPr>
          </w:p>
        </w:tc>
        <w:tc>
          <w:tcPr>
            <w:tcW w:w="1167" w:type="dxa"/>
            <w:tcBorders>
              <w:top w:val="single" w:color="auto" w:sz="4" w:space="0"/>
              <w:left w:val="single" w:color="auto" w:sz="4" w:space="0"/>
              <w:bottom w:val="single" w:color="auto" w:sz="4" w:space="0"/>
              <w:right w:val="single" w:color="auto" w:sz="4" w:space="0"/>
            </w:tcBorders>
            <w:vAlign w:val="center"/>
          </w:tcPr>
          <w:p w14:paraId="7ADD2DF0">
            <w:pPr>
              <w:autoSpaceDE w:val="0"/>
              <w:autoSpaceDN w:val="0"/>
              <w:snapToGrid w:val="0"/>
              <w:spacing w:before="195" w:line="263" w:lineRule="exact"/>
              <w:ind w:left="170"/>
              <w:jc w:val="center"/>
              <w:rPr>
                <w:rFonts w:ascii="宋体" w:hAnsi="宋体" w:cs="宋体"/>
                <w:color w:val="000000"/>
                <w:kern w:val="0"/>
                <w:sz w:val="24"/>
                <w:lang w:val="zh-CN"/>
              </w:rPr>
            </w:pPr>
          </w:p>
        </w:tc>
      </w:tr>
      <w:tr w14:paraId="4FD4E8D8">
        <w:tblPrEx>
          <w:tblCellMar>
            <w:top w:w="0" w:type="dxa"/>
            <w:left w:w="108" w:type="dxa"/>
            <w:bottom w:w="0" w:type="dxa"/>
            <w:right w:w="108" w:type="dxa"/>
          </w:tblCellMar>
        </w:tblPrEx>
        <w:trPr>
          <w:cantSplit/>
          <w:trHeight w:val="550"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14:paraId="07E21467">
            <w:pPr>
              <w:autoSpaceDE w:val="0"/>
              <w:autoSpaceDN w:val="0"/>
              <w:snapToGrid w:val="0"/>
              <w:spacing w:before="195" w:line="263" w:lineRule="exact"/>
              <w:jc w:val="center"/>
              <w:rPr>
                <w:rFonts w:ascii="宋体" w:hAnsi="宋体" w:cs="宋体"/>
                <w:color w:val="000000"/>
                <w:kern w:val="0"/>
                <w:sz w:val="24"/>
                <w:lang w:val="zh-CN"/>
              </w:rPr>
            </w:pPr>
            <w:r>
              <w:rPr>
                <w:rFonts w:hint="eastAsia" w:ascii="宋体" w:hAnsi="宋体" w:cs="宋体"/>
                <w:color w:val="000000"/>
                <w:kern w:val="0"/>
                <w:sz w:val="24"/>
                <w:lang w:val="zh-CN"/>
              </w:rPr>
              <w:t>…</w:t>
            </w:r>
          </w:p>
        </w:tc>
        <w:tc>
          <w:tcPr>
            <w:tcW w:w="1717" w:type="dxa"/>
            <w:tcBorders>
              <w:top w:val="single" w:color="auto" w:sz="4" w:space="0"/>
              <w:left w:val="single" w:color="auto" w:sz="4" w:space="0"/>
              <w:bottom w:val="single" w:color="auto" w:sz="4" w:space="0"/>
              <w:right w:val="single" w:color="auto" w:sz="4" w:space="0"/>
            </w:tcBorders>
            <w:vAlign w:val="center"/>
          </w:tcPr>
          <w:p w14:paraId="023B5E4E">
            <w:pPr>
              <w:autoSpaceDE w:val="0"/>
              <w:autoSpaceDN w:val="0"/>
              <w:snapToGrid w:val="0"/>
              <w:spacing w:before="195" w:line="263" w:lineRule="exact"/>
              <w:ind w:left="170"/>
              <w:jc w:val="center"/>
              <w:rPr>
                <w:rFonts w:ascii="宋体" w:hAnsi="宋体" w:cs="宋体"/>
                <w:color w:val="000000"/>
                <w:kern w:val="0"/>
                <w:sz w:val="24"/>
                <w:lang w:val="zh-CN"/>
              </w:rPr>
            </w:pPr>
          </w:p>
        </w:tc>
        <w:tc>
          <w:tcPr>
            <w:tcW w:w="2002" w:type="dxa"/>
            <w:tcBorders>
              <w:top w:val="single" w:color="auto" w:sz="4" w:space="0"/>
              <w:left w:val="single" w:color="auto" w:sz="4" w:space="0"/>
              <w:bottom w:val="single" w:color="auto" w:sz="4" w:space="0"/>
              <w:right w:val="single" w:color="auto" w:sz="4" w:space="0"/>
            </w:tcBorders>
            <w:vAlign w:val="center"/>
          </w:tcPr>
          <w:p w14:paraId="16EFA905">
            <w:pPr>
              <w:autoSpaceDE w:val="0"/>
              <w:autoSpaceDN w:val="0"/>
              <w:snapToGrid w:val="0"/>
              <w:spacing w:before="195" w:line="263" w:lineRule="exact"/>
              <w:ind w:left="170"/>
              <w:jc w:val="center"/>
              <w:rPr>
                <w:rFonts w:ascii="宋体" w:hAnsi="宋体" w:cs="宋体"/>
                <w:color w:val="000000"/>
                <w:kern w:val="0"/>
                <w:sz w:val="24"/>
                <w:lang w:val="zh-CN"/>
              </w:rPr>
            </w:pPr>
          </w:p>
        </w:tc>
        <w:tc>
          <w:tcPr>
            <w:tcW w:w="1482" w:type="dxa"/>
            <w:tcBorders>
              <w:top w:val="single" w:color="auto" w:sz="4" w:space="0"/>
              <w:left w:val="single" w:color="auto" w:sz="4" w:space="0"/>
              <w:bottom w:val="single" w:color="auto" w:sz="4" w:space="0"/>
              <w:right w:val="single" w:color="auto" w:sz="4" w:space="0"/>
            </w:tcBorders>
            <w:vAlign w:val="center"/>
          </w:tcPr>
          <w:p w14:paraId="55AA7AB8">
            <w:pPr>
              <w:autoSpaceDE w:val="0"/>
              <w:autoSpaceDN w:val="0"/>
              <w:snapToGrid w:val="0"/>
              <w:spacing w:before="195" w:line="263" w:lineRule="exact"/>
              <w:ind w:left="170"/>
              <w:jc w:val="center"/>
              <w:rPr>
                <w:rFonts w:ascii="宋体" w:hAnsi="宋体" w:cs="宋体"/>
                <w:color w:val="000000"/>
                <w:kern w:val="0"/>
                <w:sz w:val="24"/>
                <w:lang w:val="zh-CN"/>
              </w:rPr>
            </w:pPr>
          </w:p>
        </w:tc>
        <w:tc>
          <w:tcPr>
            <w:tcW w:w="1121" w:type="dxa"/>
            <w:tcBorders>
              <w:top w:val="single" w:color="auto" w:sz="4" w:space="0"/>
              <w:left w:val="single" w:color="auto" w:sz="4" w:space="0"/>
              <w:bottom w:val="single" w:color="auto" w:sz="4" w:space="0"/>
              <w:right w:val="single" w:color="auto" w:sz="4" w:space="0"/>
            </w:tcBorders>
            <w:vAlign w:val="center"/>
          </w:tcPr>
          <w:p w14:paraId="6F6D8586">
            <w:pPr>
              <w:autoSpaceDE w:val="0"/>
              <w:autoSpaceDN w:val="0"/>
              <w:snapToGrid w:val="0"/>
              <w:spacing w:before="195" w:line="263" w:lineRule="exact"/>
              <w:ind w:left="170"/>
              <w:jc w:val="center"/>
              <w:rPr>
                <w:rFonts w:ascii="宋体" w:hAnsi="宋体" w:cs="宋体"/>
                <w:color w:val="000000"/>
                <w:kern w:val="0"/>
                <w:sz w:val="24"/>
                <w:lang w:val="zh-CN"/>
              </w:rPr>
            </w:pPr>
          </w:p>
        </w:tc>
        <w:tc>
          <w:tcPr>
            <w:tcW w:w="1259" w:type="dxa"/>
            <w:tcBorders>
              <w:top w:val="single" w:color="auto" w:sz="4" w:space="0"/>
              <w:left w:val="single" w:color="auto" w:sz="4" w:space="0"/>
              <w:bottom w:val="single" w:color="auto" w:sz="4" w:space="0"/>
              <w:right w:val="single" w:color="auto" w:sz="4" w:space="0"/>
            </w:tcBorders>
            <w:vAlign w:val="center"/>
          </w:tcPr>
          <w:p w14:paraId="67235104">
            <w:pPr>
              <w:autoSpaceDE w:val="0"/>
              <w:autoSpaceDN w:val="0"/>
              <w:snapToGrid w:val="0"/>
              <w:spacing w:before="195" w:line="263" w:lineRule="exact"/>
              <w:ind w:left="170"/>
              <w:jc w:val="center"/>
              <w:rPr>
                <w:rFonts w:ascii="宋体" w:hAnsi="宋体" w:cs="宋体"/>
                <w:color w:val="000000"/>
                <w:kern w:val="0"/>
                <w:sz w:val="24"/>
                <w:lang w:val="zh-CN"/>
              </w:rPr>
            </w:pPr>
          </w:p>
        </w:tc>
        <w:tc>
          <w:tcPr>
            <w:tcW w:w="1167" w:type="dxa"/>
            <w:tcBorders>
              <w:top w:val="single" w:color="auto" w:sz="4" w:space="0"/>
              <w:left w:val="single" w:color="auto" w:sz="4" w:space="0"/>
              <w:bottom w:val="single" w:color="auto" w:sz="4" w:space="0"/>
              <w:right w:val="single" w:color="auto" w:sz="4" w:space="0"/>
            </w:tcBorders>
            <w:vAlign w:val="center"/>
          </w:tcPr>
          <w:p w14:paraId="69742828">
            <w:pPr>
              <w:autoSpaceDE w:val="0"/>
              <w:autoSpaceDN w:val="0"/>
              <w:snapToGrid w:val="0"/>
              <w:spacing w:before="195" w:line="263" w:lineRule="exact"/>
              <w:ind w:left="170"/>
              <w:jc w:val="center"/>
              <w:rPr>
                <w:rFonts w:ascii="宋体" w:hAnsi="宋体" w:cs="宋体"/>
                <w:color w:val="000000"/>
                <w:kern w:val="0"/>
                <w:sz w:val="24"/>
                <w:lang w:val="zh-CN"/>
              </w:rPr>
            </w:pPr>
          </w:p>
        </w:tc>
      </w:tr>
    </w:tbl>
    <w:p w14:paraId="5764C108">
      <w:pPr>
        <w:autoSpaceDE w:val="0"/>
        <w:autoSpaceDN w:val="0"/>
        <w:spacing w:line="360" w:lineRule="auto"/>
        <w:ind w:firstLine="420" w:firstLineChars="175"/>
        <w:rPr>
          <w:rFonts w:ascii="宋体" w:hAnsi="宋体" w:cs="Arial"/>
          <w:sz w:val="24"/>
          <w:u w:val="single"/>
          <w:lang w:val="zh-CN"/>
        </w:rPr>
      </w:pPr>
      <w:r>
        <w:rPr>
          <w:rFonts w:ascii="宋体" w:hAnsi="宋体" w:cs="Arial"/>
          <w:sz w:val="24"/>
          <w:lang w:val="zh-CN"/>
        </w:rPr>
        <w:t>根据上述政府采购合同文件要求，本政府采购合同的总金额为人民币</w:t>
      </w:r>
      <w:r>
        <w:rPr>
          <w:rFonts w:hint="eastAsia" w:ascii="宋体" w:hAnsi="宋体" w:cs="Arial"/>
          <w:sz w:val="24"/>
          <w:u w:val="single"/>
          <w:lang w:val="zh-CN"/>
        </w:rPr>
        <w:t xml:space="preserve">        元</w:t>
      </w:r>
      <w:r>
        <w:rPr>
          <w:rFonts w:ascii="宋体" w:hAnsi="宋体" w:cs="Arial"/>
          <w:sz w:val="24"/>
          <w:lang w:val="zh-CN"/>
        </w:rPr>
        <w:t>（大写）元。</w:t>
      </w:r>
    </w:p>
    <w:p w14:paraId="7FC058D4">
      <w:pPr>
        <w:autoSpaceDE w:val="0"/>
        <w:autoSpaceDN w:val="0"/>
        <w:spacing w:line="360" w:lineRule="auto"/>
        <w:ind w:firstLine="420" w:firstLineChars="175"/>
        <w:rPr>
          <w:rFonts w:ascii="宋体" w:hAnsi="宋体" w:cs="Arial"/>
          <w:sz w:val="24"/>
          <w:lang w:val="zh-CN"/>
        </w:rPr>
      </w:pPr>
      <w:r>
        <w:rPr>
          <w:rFonts w:ascii="宋体" w:hAnsi="宋体" w:cs="Arial"/>
          <w:sz w:val="24"/>
          <w:lang w:val="zh-CN"/>
        </w:rPr>
        <w:t>本合同以人民币进行结算，合同总价包括：</w:t>
      </w:r>
      <w:r>
        <w:rPr>
          <w:rFonts w:hint="eastAsia" w:ascii="宋体" w:hAnsi="宋体" w:cs="Arial"/>
          <w:sz w:val="24"/>
          <w:lang w:val="zh-CN"/>
        </w:rPr>
        <w:t>服务费、管理费、人员费、保险费、税金及其他不可预见费等全部费用</w:t>
      </w:r>
      <w:r>
        <w:rPr>
          <w:rFonts w:hint="eastAsia" w:hAnsi="宋体"/>
          <w:sz w:val="24"/>
          <w:szCs w:val="28"/>
        </w:rPr>
        <w:t>，</w:t>
      </w:r>
      <w:r>
        <w:rPr>
          <w:rFonts w:ascii="宋体" w:hAnsi="宋体" w:cs="Arial"/>
          <w:sz w:val="24"/>
          <w:lang w:val="zh-CN"/>
        </w:rPr>
        <w:t>且均为包干价，不随工作量的调整而变化，除此费用外，甲方不再向乙方支付任何费用。因中标人自身原因造成漏报、少报皆由其自行承担责任，采购人不再补偿</w:t>
      </w:r>
      <w:r>
        <w:rPr>
          <w:rFonts w:hint="eastAsia" w:ascii="宋体" w:hAnsi="宋体" w:cs="Arial"/>
          <w:sz w:val="24"/>
          <w:lang w:val="zh-CN"/>
        </w:rPr>
        <w:t>。</w:t>
      </w:r>
    </w:p>
    <w:p w14:paraId="5E194443">
      <w:pPr>
        <w:autoSpaceDE w:val="0"/>
        <w:autoSpaceDN w:val="0"/>
        <w:spacing w:line="360" w:lineRule="auto"/>
        <w:outlineLvl w:val="1"/>
        <w:rPr>
          <w:rFonts w:ascii="宋体" w:hAnsi="宋体" w:cs="Arial"/>
          <w:b/>
          <w:sz w:val="24"/>
        </w:rPr>
      </w:pPr>
      <w:bookmarkStart w:id="321" w:name="_Toc22810"/>
      <w:r>
        <w:rPr>
          <w:rFonts w:ascii="宋体" w:hAnsi="宋体" w:cs="Arial"/>
          <w:b/>
          <w:sz w:val="24"/>
          <w:lang w:val="zh-CN"/>
        </w:rPr>
        <w:t>三、交付时间、地点和要求</w:t>
      </w:r>
      <w:bookmarkEnd w:id="321"/>
    </w:p>
    <w:p w14:paraId="2DFB8669">
      <w:pPr>
        <w:autoSpaceDE w:val="0"/>
        <w:autoSpaceDN w:val="0"/>
        <w:spacing w:line="360" w:lineRule="auto"/>
        <w:ind w:firstLine="480" w:firstLineChars="200"/>
        <w:rPr>
          <w:rFonts w:ascii="宋体" w:hAnsi="宋体" w:cs="Arial"/>
          <w:color w:val="000000" w:themeColor="text1"/>
          <w:sz w:val="24"/>
          <w14:textFill>
            <w14:solidFill>
              <w14:schemeClr w14:val="tx1"/>
            </w14:solidFill>
          </w14:textFill>
        </w:rPr>
      </w:pPr>
      <w:r>
        <w:rPr>
          <w:rFonts w:hint="eastAsia" w:ascii="宋体" w:hAnsi="宋体" w:cs="Arial"/>
          <w:color w:val="000000" w:themeColor="text1"/>
          <w:sz w:val="24"/>
          <w14:textFill>
            <w14:solidFill>
              <w14:schemeClr w14:val="tx1"/>
            </w14:solidFill>
          </w14:textFill>
        </w:rPr>
        <w:t>1.服务时间：</w:t>
      </w:r>
      <w:r>
        <w:rPr>
          <w:rFonts w:hint="eastAsia" w:ascii="宋体" w:hAnsi="宋体" w:cs="宋体"/>
          <w:color w:val="000000" w:themeColor="text1"/>
          <w:kern w:val="0"/>
          <w:sz w:val="24"/>
          <w:u w:val="single"/>
          <w:lang w:eastAsia="zh-CN"/>
          <w14:textFill>
            <w14:solidFill>
              <w14:schemeClr w14:val="tx1"/>
            </w14:solidFill>
          </w14:textFill>
        </w:rPr>
        <w:t>自合同签订之日起一年</w:t>
      </w:r>
      <w:r>
        <w:rPr>
          <w:rFonts w:hint="eastAsia" w:ascii="宋体" w:hAnsi="宋体" w:cs="Arial"/>
          <w:color w:val="000000" w:themeColor="text1"/>
          <w:sz w:val="24"/>
          <w14:textFill>
            <w14:solidFill>
              <w14:schemeClr w14:val="tx1"/>
            </w14:solidFill>
          </w14:textFill>
        </w:rPr>
        <w:t>；</w:t>
      </w:r>
    </w:p>
    <w:p w14:paraId="62426E9A">
      <w:pPr>
        <w:autoSpaceDE w:val="0"/>
        <w:autoSpaceDN w:val="0"/>
        <w:spacing w:line="360" w:lineRule="auto"/>
        <w:ind w:firstLine="480" w:firstLineChars="200"/>
        <w:outlineLvl w:val="2"/>
        <w:rPr>
          <w:rFonts w:ascii="宋体" w:hAnsi="宋体" w:cs="Arial"/>
          <w:color w:val="000000" w:themeColor="text1"/>
          <w:sz w:val="24"/>
          <w14:textFill>
            <w14:solidFill>
              <w14:schemeClr w14:val="tx1"/>
            </w14:solidFill>
          </w14:textFill>
        </w:rPr>
      </w:pPr>
      <w:bookmarkStart w:id="322" w:name="_Toc11934"/>
      <w:r>
        <w:rPr>
          <w:rFonts w:hint="eastAsia" w:ascii="宋体" w:hAnsi="宋体" w:cs="Arial"/>
          <w:color w:val="000000" w:themeColor="text1"/>
          <w:sz w:val="24"/>
          <w14:textFill>
            <w14:solidFill>
              <w14:schemeClr w14:val="tx1"/>
            </w14:solidFill>
          </w14:textFill>
        </w:rPr>
        <w:t>2.服务地点：</w:t>
      </w:r>
      <w:r>
        <w:rPr>
          <w:rFonts w:hint="eastAsia" w:ascii="宋体" w:hAnsi="宋体" w:cs="Arial"/>
          <w:color w:val="000000" w:themeColor="text1"/>
          <w:sz w:val="24"/>
          <w:u w:val="single"/>
          <w:lang w:val="en-US" w:eastAsia="zh-CN"/>
          <w14:textFill>
            <w14:solidFill>
              <w14:schemeClr w14:val="tx1"/>
            </w14:solidFill>
          </w14:textFill>
        </w:rPr>
        <w:t>青海省养老服务中心</w:t>
      </w:r>
      <w:r>
        <w:rPr>
          <w:rFonts w:hint="eastAsia" w:ascii="宋体" w:hAnsi="宋体" w:cs="Arial"/>
          <w:color w:val="000000" w:themeColor="text1"/>
          <w:sz w:val="24"/>
          <w14:textFill>
            <w14:solidFill>
              <w14:schemeClr w14:val="tx1"/>
            </w14:solidFill>
          </w14:textFill>
        </w:rPr>
        <w:t>；</w:t>
      </w:r>
      <w:bookmarkEnd w:id="322"/>
    </w:p>
    <w:p w14:paraId="1870185B">
      <w:pPr>
        <w:autoSpaceDE w:val="0"/>
        <w:autoSpaceDN w:val="0"/>
        <w:spacing w:line="360" w:lineRule="auto"/>
        <w:ind w:firstLine="480" w:firstLineChars="200"/>
        <w:rPr>
          <w:rFonts w:ascii="宋体" w:hAnsi="宋体" w:cs="Arial"/>
          <w:sz w:val="24"/>
        </w:rPr>
      </w:pPr>
      <w:r>
        <w:rPr>
          <w:rFonts w:hint="eastAsia" w:ascii="宋体" w:hAnsi="宋体" w:cs="Arial"/>
          <w:sz w:val="24"/>
        </w:rPr>
        <w:t>3.乙方提供不符合招投标文件和本合同约定的服务，甲方有权拒绝接受；</w:t>
      </w:r>
    </w:p>
    <w:p w14:paraId="332DB525">
      <w:pPr>
        <w:autoSpaceDE w:val="0"/>
        <w:autoSpaceDN w:val="0"/>
        <w:spacing w:line="360" w:lineRule="auto"/>
        <w:ind w:firstLine="480" w:firstLineChars="200"/>
        <w:rPr>
          <w:rFonts w:ascii="宋体" w:hAnsi="宋体" w:cs="Arial"/>
          <w:sz w:val="24"/>
        </w:rPr>
      </w:pPr>
      <w:r>
        <w:rPr>
          <w:rFonts w:hint="eastAsia" w:ascii="宋体" w:hAnsi="宋体" w:cs="Arial"/>
          <w:sz w:val="24"/>
        </w:rPr>
        <w:t>4.甲方应当在服务完成乙方书面申请验收之日起 30 个工作日内进行评审验收，逾期不评审验收的，乙方应催告甲方在15个工作内进行验收。经乙方催告，甲方在合理期限内仍未验收的，乙方可视为验收合格。乙方提交成果书面申请验收后，由甲方组织专家进行验收，验收通过后甲方出具项目验收报告并加盖双方公章，甲乙方各执一份；</w:t>
      </w:r>
    </w:p>
    <w:p w14:paraId="73C8EB9A">
      <w:pPr>
        <w:autoSpaceDE w:val="0"/>
        <w:autoSpaceDN w:val="0"/>
        <w:spacing w:line="360" w:lineRule="auto"/>
        <w:ind w:firstLine="480" w:firstLineChars="200"/>
        <w:rPr>
          <w:rFonts w:ascii="宋体" w:hAnsi="宋体" w:cs="Arial"/>
          <w:sz w:val="24"/>
        </w:rPr>
      </w:pPr>
      <w:r>
        <w:rPr>
          <w:rFonts w:hint="eastAsia" w:ascii="宋体" w:hAnsi="宋体" w:cs="Arial"/>
          <w:sz w:val="24"/>
        </w:rPr>
        <w:t>5.甲方应提供该项目验收报告交同级财政监管部门，由财政部门按规定程序抽验后办理资金拨付；</w:t>
      </w:r>
    </w:p>
    <w:p w14:paraId="5F5EB5C2">
      <w:pPr>
        <w:autoSpaceDE w:val="0"/>
        <w:autoSpaceDN w:val="0"/>
        <w:spacing w:line="360" w:lineRule="auto"/>
        <w:ind w:firstLine="480" w:firstLineChars="200"/>
        <w:rPr>
          <w:rFonts w:ascii="宋体" w:hAnsi="宋体" w:cs="Arial"/>
          <w:sz w:val="24"/>
        </w:rPr>
      </w:pPr>
      <w:r>
        <w:rPr>
          <w:rFonts w:hint="eastAsia" w:ascii="宋体" w:hAnsi="宋体" w:cs="Arial"/>
          <w:sz w:val="24"/>
        </w:rPr>
        <w:t>6.甲方在验收过程中发现乙方有违约问题，可按采购文件、响应文件的规定及本合同约定要求乙方及时予以解决；</w:t>
      </w:r>
    </w:p>
    <w:p w14:paraId="373E71CD">
      <w:pPr>
        <w:autoSpaceDE w:val="0"/>
        <w:autoSpaceDN w:val="0"/>
        <w:spacing w:line="360" w:lineRule="auto"/>
        <w:ind w:firstLine="480" w:firstLineChars="200"/>
        <w:outlineLvl w:val="2"/>
        <w:rPr>
          <w:rFonts w:ascii="宋体" w:hAnsi="宋体" w:cs="Arial"/>
          <w:sz w:val="24"/>
        </w:rPr>
      </w:pPr>
      <w:bookmarkStart w:id="323" w:name="_Toc2726"/>
      <w:r>
        <w:rPr>
          <w:rFonts w:hint="eastAsia" w:ascii="宋体" w:hAnsi="宋体" w:cs="Arial"/>
          <w:sz w:val="24"/>
        </w:rPr>
        <w:t>7.乙方申请付款前向甲方提供服务相关完税发票</w:t>
      </w:r>
      <w:r>
        <w:rPr>
          <w:rFonts w:ascii="宋体" w:hAnsi="宋体" w:cs="Arial"/>
          <w:sz w:val="24"/>
          <w:lang w:val="zh-CN"/>
        </w:rPr>
        <w:t>。</w:t>
      </w:r>
      <w:bookmarkEnd w:id="323"/>
    </w:p>
    <w:p w14:paraId="3D70019B">
      <w:pPr>
        <w:autoSpaceDE w:val="0"/>
        <w:autoSpaceDN w:val="0"/>
        <w:spacing w:line="360" w:lineRule="auto"/>
        <w:outlineLvl w:val="1"/>
        <w:rPr>
          <w:rFonts w:hint="eastAsia" w:ascii="宋体" w:hAnsi="宋体" w:cs="Arial"/>
          <w:b/>
          <w:sz w:val="24"/>
          <w:lang w:val="zh-CN"/>
        </w:rPr>
      </w:pPr>
      <w:bookmarkStart w:id="324" w:name="_Toc13829"/>
      <w:r>
        <w:rPr>
          <w:rFonts w:hint="eastAsia" w:ascii="宋体" w:hAnsi="宋体" w:cs="Arial"/>
          <w:b/>
          <w:sz w:val="24"/>
          <w:lang w:val="zh-CN"/>
        </w:rPr>
        <w:t>四、付款方式</w:t>
      </w:r>
      <w:bookmarkEnd w:id="324"/>
    </w:p>
    <w:p w14:paraId="77274EA0">
      <w:pPr>
        <w:autoSpaceDE w:val="0"/>
        <w:autoSpaceDN w:val="0"/>
        <w:spacing w:line="360" w:lineRule="auto"/>
        <w:ind w:firstLine="480" w:firstLineChars="200"/>
        <w:rPr>
          <w:rFonts w:hint="eastAsia" w:ascii="宋体" w:hAnsi="宋体" w:eastAsia="宋体" w:cs="Arial"/>
          <w:sz w:val="24"/>
        </w:rPr>
      </w:pPr>
      <w:bookmarkStart w:id="325" w:name="_Toc13814"/>
      <w:r>
        <w:rPr>
          <w:rFonts w:hint="eastAsia" w:ascii="宋体" w:hAnsi="宋体" w:eastAsia="宋体" w:cs="Arial"/>
          <w:sz w:val="24"/>
          <w:lang w:val="en-US" w:eastAsia="zh-CN"/>
        </w:rPr>
        <w:t>（一）乙方按合同要求完成服务任务，经甲方考核合格后，由甲方向乙方支付服务总价款：（大写）</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 xml:space="preserve">元。 </w:t>
      </w:r>
    </w:p>
    <w:p w14:paraId="6F7A0AC8">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 xml:space="preserve">（二）支付方式 </w:t>
      </w:r>
    </w:p>
    <w:p w14:paraId="311EA199">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 xml:space="preserve">甲方可采用以下支付方式向乙方支付服务价款： </w:t>
      </w:r>
    </w:p>
    <w:p w14:paraId="192B6989">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 xml:space="preserve">A．分段支付（   ）   B. 项目完成结算（   ） </w:t>
      </w:r>
    </w:p>
    <w:p w14:paraId="050A35BA">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 xml:space="preserve">（三）支付时间 </w:t>
      </w:r>
    </w:p>
    <w:p w14:paraId="14739563">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第一次支付时间：合同签订后(考核合格后</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日内)支付金额：</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 xml:space="preserve">。 </w:t>
      </w:r>
    </w:p>
    <w:p w14:paraId="21F9C14C">
      <w:pPr>
        <w:autoSpaceDE w:val="0"/>
        <w:autoSpaceDN w:val="0"/>
        <w:spacing w:line="360" w:lineRule="auto"/>
        <w:ind w:firstLine="480" w:firstLineChars="200"/>
        <w:rPr>
          <w:rFonts w:hint="eastAsia" w:ascii="宋体" w:hAnsi="宋体" w:eastAsia="宋体" w:cs="Arial"/>
          <w:sz w:val="24"/>
        </w:rPr>
      </w:pPr>
      <w:r>
        <w:rPr>
          <w:rFonts w:hint="eastAsia" w:ascii="宋体" w:hAnsi="宋体" w:eastAsia="宋体" w:cs="Arial"/>
          <w:sz w:val="24"/>
          <w:lang w:val="en-US" w:eastAsia="zh-CN"/>
        </w:rPr>
        <w:t>第二次支付时间：项目实施半年(考核合格后</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日内)支付金额：</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 xml:space="preserve">。 </w:t>
      </w:r>
    </w:p>
    <w:p w14:paraId="09F74057">
      <w:pPr>
        <w:autoSpaceDE w:val="0"/>
        <w:autoSpaceDN w:val="0"/>
        <w:spacing w:line="360" w:lineRule="auto"/>
        <w:ind w:firstLine="480" w:firstLineChars="200"/>
        <w:rPr>
          <w:rFonts w:hint="eastAsia" w:ascii="宋体" w:hAnsi="宋体" w:eastAsia="宋体" w:cs="Arial"/>
          <w:sz w:val="24"/>
          <w:lang w:val="en-US" w:eastAsia="zh-CN"/>
        </w:rPr>
      </w:pPr>
      <w:r>
        <w:rPr>
          <w:rFonts w:hint="eastAsia" w:ascii="宋体" w:hAnsi="宋体" w:eastAsia="宋体" w:cs="Arial"/>
          <w:sz w:val="24"/>
          <w:lang w:val="en-US" w:eastAsia="zh-CN"/>
        </w:rPr>
        <w:t>第三次支付时间：项目结束后由采购人考核合格后，支付金额：</w:t>
      </w:r>
      <w:r>
        <w:rPr>
          <w:rFonts w:hint="eastAsia" w:ascii="宋体" w:hAnsi="宋体" w:eastAsia="宋体" w:cs="Arial"/>
          <w:sz w:val="24"/>
          <w:u w:val="single"/>
          <w:lang w:val="en-US" w:eastAsia="zh-CN"/>
        </w:rPr>
        <w:t xml:space="preserve">            </w:t>
      </w:r>
      <w:r>
        <w:rPr>
          <w:rFonts w:hint="eastAsia" w:ascii="宋体" w:hAnsi="宋体" w:eastAsia="宋体" w:cs="Arial"/>
          <w:sz w:val="24"/>
          <w:lang w:val="en-US" w:eastAsia="zh-CN"/>
        </w:rPr>
        <w:t>。</w:t>
      </w:r>
    </w:p>
    <w:p w14:paraId="259967A7">
      <w:pPr>
        <w:autoSpaceDE w:val="0"/>
        <w:autoSpaceDN w:val="0"/>
        <w:spacing w:line="360" w:lineRule="auto"/>
        <w:ind w:firstLine="480" w:firstLineChars="200"/>
        <w:rPr>
          <w:rFonts w:hint="eastAsia" w:ascii="宋体" w:hAnsi="宋体" w:eastAsia="宋体" w:cs="Arial"/>
          <w:color w:val="000000" w:themeColor="text1"/>
          <w:sz w:val="24"/>
          <w:lang w:val="zh-CN"/>
          <w14:textFill>
            <w14:solidFill>
              <w14:schemeClr w14:val="tx1"/>
            </w14:solidFill>
          </w14:textFill>
        </w:rPr>
      </w:pPr>
      <w:r>
        <w:rPr>
          <w:rFonts w:hint="eastAsia" w:ascii="宋体" w:hAnsi="宋体" w:eastAsia="宋体" w:cs="Arial"/>
          <w:color w:val="000000" w:themeColor="text1"/>
          <w:sz w:val="24"/>
          <w:lang w:val="zh-CN"/>
          <w14:textFill>
            <w14:solidFill>
              <w14:schemeClr w14:val="tx1"/>
            </w14:solidFill>
          </w14:textFill>
        </w:rPr>
        <w:t xml:space="preserve">2.甲方每次向乙方支付合同价款前，乙方应向甲方开具符合法律规定及甲方要求的增值税发票，否则，甲方有权拒绝付款且免于承担逾期付款违约责任。  </w:t>
      </w:r>
    </w:p>
    <w:p w14:paraId="628AF9C3">
      <w:pPr>
        <w:autoSpaceDE w:val="0"/>
        <w:autoSpaceDN w:val="0"/>
        <w:spacing w:line="360" w:lineRule="auto"/>
        <w:ind w:firstLine="482" w:firstLineChars="200"/>
        <w:outlineLvl w:val="1"/>
        <w:rPr>
          <w:rFonts w:ascii="宋体" w:hAnsi="宋体" w:cs="Arial"/>
          <w:b/>
          <w:color w:val="auto"/>
          <w:sz w:val="24"/>
          <w:lang w:val="zh-CN"/>
        </w:rPr>
      </w:pPr>
      <w:r>
        <w:rPr>
          <w:rFonts w:hint="eastAsia" w:ascii="宋体" w:hAnsi="宋体" w:cs="Arial"/>
          <w:b/>
          <w:color w:val="auto"/>
          <w:sz w:val="24"/>
          <w:lang w:val="zh-CN"/>
        </w:rPr>
        <w:t>五、合同的变更、终止与转让</w:t>
      </w:r>
      <w:bookmarkEnd w:id="325"/>
    </w:p>
    <w:p w14:paraId="363AC4D2">
      <w:pPr>
        <w:autoSpaceDE w:val="0"/>
        <w:autoSpaceDN w:val="0"/>
        <w:spacing w:line="360" w:lineRule="auto"/>
        <w:ind w:firstLine="480" w:firstLineChars="200"/>
        <w:rPr>
          <w:rFonts w:ascii="宋体" w:hAnsi="宋体" w:cs="Arial"/>
          <w:sz w:val="24"/>
        </w:rPr>
      </w:pPr>
      <w:r>
        <w:rPr>
          <w:rFonts w:ascii="宋体" w:hAnsi="宋体" w:cs="Arial"/>
          <w:sz w:val="24"/>
        </w:rPr>
        <w:t>1</w:t>
      </w:r>
      <w:r>
        <w:rPr>
          <w:rFonts w:hint="eastAsia" w:ascii="宋体" w:hAnsi="宋体" w:cs="Arial"/>
          <w:sz w:val="24"/>
        </w:rPr>
        <w:t>．</w:t>
      </w:r>
      <w:r>
        <w:rPr>
          <w:rFonts w:ascii="宋体" w:hAnsi="宋体" w:cs="Arial"/>
          <w:sz w:val="24"/>
          <w:lang w:val="zh-CN"/>
        </w:rPr>
        <w:t>除《中华人民共和国政府采购法》第</w:t>
      </w:r>
      <w:r>
        <w:rPr>
          <w:rFonts w:ascii="宋体" w:hAnsi="宋体" w:cs="Arial"/>
          <w:sz w:val="24"/>
        </w:rPr>
        <w:t>50</w:t>
      </w:r>
      <w:r>
        <w:rPr>
          <w:rFonts w:ascii="宋体" w:hAnsi="宋体" w:cs="Arial"/>
          <w:sz w:val="24"/>
          <w:lang w:val="zh-CN"/>
        </w:rPr>
        <w:t>条规定的情形外，本合同一经签订，甲乙双方不得擅自变更、中止或终止</w:t>
      </w:r>
      <w:r>
        <w:rPr>
          <w:rFonts w:hint="eastAsia" w:ascii="宋体" w:hAnsi="宋体" w:cs="Arial"/>
          <w:sz w:val="24"/>
          <w:lang w:val="zh-CN"/>
        </w:rPr>
        <w:t>；</w:t>
      </w:r>
    </w:p>
    <w:p w14:paraId="66D2C099">
      <w:pPr>
        <w:autoSpaceDE w:val="0"/>
        <w:autoSpaceDN w:val="0"/>
        <w:spacing w:line="360" w:lineRule="auto"/>
        <w:ind w:firstLine="480" w:firstLineChars="200"/>
        <w:outlineLvl w:val="2"/>
        <w:rPr>
          <w:rFonts w:ascii="宋体" w:hAnsi="宋体" w:cs="Arial"/>
          <w:sz w:val="24"/>
        </w:rPr>
      </w:pPr>
      <w:bookmarkStart w:id="326" w:name="_Toc11939"/>
      <w:r>
        <w:rPr>
          <w:rFonts w:ascii="宋体" w:hAnsi="宋体" w:cs="Arial"/>
          <w:sz w:val="24"/>
        </w:rPr>
        <w:t>2</w:t>
      </w:r>
      <w:r>
        <w:rPr>
          <w:rFonts w:hint="eastAsia" w:ascii="宋体" w:hAnsi="宋体" w:cs="Arial"/>
          <w:sz w:val="24"/>
        </w:rPr>
        <w:t>．</w:t>
      </w:r>
      <w:r>
        <w:rPr>
          <w:rFonts w:ascii="宋体" w:hAnsi="宋体" w:cs="Arial"/>
          <w:sz w:val="24"/>
          <w:lang w:val="zh-CN"/>
        </w:rPr>
        <w:t>乙方不得擅自转让其应履行的合同义务。</w:t>
      </w:r>
      <w:bookmarkEnd w:id="326"/>
    </w:p>
    <w:p w14:paraId="5F8B97B1">
      <w:pPr>
        <w:autoSpaceDE w:val="0"/>
        <w:autoSpaceDN w:val="0"/>
        <w:spacing w:line="360" w:lineRule="auto"/>
        <w:outlineLvl w:val="1"/>
        <w:rPr>
          <w:rFonts w:ascii="宋体" w:hAnsi="宋体" w:cs="Arial"/>
          <w:b/>
          <w:sz w:val="24"/>
        </w:rPr>
      </w:pPr>
      <w:bookmarkStart w:id="327" w:name="_Toc7949"/>
      <w:r>
        <w:rPr>
          <w:rFonts w:ascii="宋体" w:hAnsi="宋体" w:cs="Arial"/>
          <w:b/>
          <w:sz w:val="24"/>
          <w:lang w:val="zh-CN"/>
        </w:rPr>
        <w:t>六、违约责任</w:t>
      </w:r>
      <w:bookmarkEnd w:id="327"/>
    </w:p>
    <w:p w14:paraId="653D4889">
      <w:pPr>
        <w:autoSpaceDE w:val="0"/>
        <w:autoSpaceDN w:val="0"/>
        <w:spacing w:line="360" w:lineRule="auto"/>
        <w:ind w:firstLine="480" w:firstLineChars="200"/>
        <w:rPr>
          <w:rFonts w:ascii="宋体" w:hAnsi="宋体" w:cs="Arial"/>
          <w:sz w:val="24"/>
        </w:rPr>
      </w:pPr>
      <w:r>
        <w:rPr>
          <w:rFonts w:hint="eastAsia" w:ascii="宋体" w:hAnsi="宋体" w:cs="Arial"/>
          <w:sz w:val="24"/>
        </w:rPr>
        <w:t>1.乙方所提供的项目成果、服务等不符合招投标文件规定和本合同约定的或经甲方验收不合格的，乙方应在甲方规定的期限内及时返工更改直至验收合格；若乙方未在甲方规定的期限内返工更改或拒绝返工更改的，按本条第3款逾期完成服务承担违约责任，由此造成甲方损失的，乙方还应赔偿由此给甲方造成的一切损失。</w:t>
      </w:r>
    </w:p>
    <w:p w14:paraId="76942C1B">
      <w:pPr>
        <w:autoSpaceDE w:val="0"/>
        <w:autoSpaceDN w:val="0"/>
        <w:spacing w:line="360" w:lineRule="auto"/>
        <w:ind w:firstLine="480" w:firstLineChars="200"/>
        <w:rPr>
          <w:rFonts w:ascii="宋体" w:hAnsi="宋体" w:cs="Arial"/>
          <w:sz w:val="24"/>
        </w:rPr>
      </w:pPr>
      <w:r>
        <w:rPr>
          <w:rFonts w:hint="eastAsia" w:ascii="宋体" w:hAnsi="宋体" w:cs="Arial"/>
          <w:sz w:val="24"/>
        </w:rPr>
        <w:t>2.乙方提供的服务如侵犯了第三方权益而引发纠纷或诉讼的，均由乙方负责交涉并承担全部法律责任，因乙方原因导致甲方遭受损失的，乙方除应对第三方承担责任外还应就甲方遭受的损失承担赔偿责任。</w:t>
      </w:r>
    </w:p>
    <w:p w14:paraId="510EBFBC">
      <w:pPr>
        <w:autoSpaceDE w:val="0"/>
        <w:autoSpaceDN w:val="0"/>
        <w:spacing w:line="360" w:lineRule="auto"/>
        <w:ind w:firstLine="480" w:firstLineChars="200"/>
        <w:rPr>
          <w:rFonts w:ascii="宋体" w:hAnsi="宋体" w:cs="Arial"/>
          <w:sz w:val="24"/>
        </w:rPr>
      </w:pPr>
      <w:r>
        <w:rPr>
          <w:rFonts w:hint="eastAsia" w:ascii="宋体" w:hAnsi="宋体" w:cs="Arial"/>
          <w:sz w:val="24"/>
        </w:rPr>
        <w:t>3.乙方逾期提供服务的，每逾期一日应向甲方支付合同总价款【0.2】%的违约金；逾期超过十日（含十日）的，除应按实际逾期天数支付违约金外，甲方有权单方解除合同，前述违约金不足以弥补甲方损失的，乙方应承担损失赔偿责任。</w:t>
      </w:r>
    </w:p>
    <w:p w14:paraId="2F687DEC">
      <w:pPr>
        <w:autoSpaceDE w:val="0"/>
        <w:autoSpaceDN w:val="0"/>
        <w:spacing w:line="360" w:lineRule="auto"/>
        <w:ind w:firstLine="480" w:firstLineChars="200"/>
        <w:rPr>
          <w:rFonts w:ascii="宋体" w:hAnsi="宋体" w:cs="Arial"/>
          <w:sz w:val="24"/>
        </w:rPr>
      </w:pPr>
      <w:r>
        <w:rPr>
          <w:rFonts w:hint="eastAsia" w:ascii="宋体" w:hAnsi="宋体" w:cs="Arial"/>
          <w:sz w:val="24"/>
        </w:rPr>
        <w:t>4.乙方其它违约行为按合同总价款【2】%收取违约金并赔偿甲方经济损失。</w:t>
      </w:r>
    </w:p>
    <w:p w14:paraId="7F628D3C">
      <w:pPr>
        <w:autoSpaceDE w:val="0"/>
        <w:autoSpaceDN w:val="0"/>
        <w:spacing w:line="360" w:lineRule="auto"/>
        <w:ind w:firstLine="480" w:firstLineChars="200"/>
        <w:rPr>
          <w:rFonts w:ascii="宋体" w:hAnsi="宋体" w:cs="Arial"/>
          <w:color w:val="FF0000"/>
          <w:sz w:val="24"/>
        </w:rPr>
      </w:pPr>
      <w:r>
        <w:rPr>
          <w:rFonts w:hint="eastAsia" w:ascii="宋体" w:hAnsi="宋体" w:cs="Arial"/>
          <w:sz w:val="24"/>
        </w:rPr>
        <w:t>5.未经甲方书面同意，乙方将本合同项下义务转包/分包给第三方的，甲方有权单方解除合同，由此行为给甲方造成损失的，乙方需就甲方全部损失承担损失赔偿责任。</w:t>
      </w:r>
    </w:p>
    <w:p w14:paraId="0D6822EF">
      <w:pPr>
        <w:autoSpaceDE w:val="0"/>
        <w:autoSpaceDN w:val="0"/>
        <w:spacing w:line="360" w:lineRule="auto"/>
        <w:outlineLvl w:val="1"/>
        <w:rPr>
          <w:rFonts w:ascii="宋体" w:hAnsi="宋体" w:cs="Arial"/>
          <w:b/>
          <w:sz w:val="24"/>
        </w:rPr>
      </w:pPr>
      <w:bookmarkStart w:id="328" w:name="_Toc12976"/>
      <w:r>
        <w:rPr>
          <w:rFonts w:ascii="宋体" w:hAnsi="宋体" w:cs="Arial"/>
          <w:b/>
          <w:sz w:val="24"/>
          <w:lang w:val="zh-CN"/>
        </w:rPr>
        <w:t>七、不可抗力</w:t>
      </w:r>
      <w:bookmarkEnd w:id="328"/>
    </w:p>
    <w:p w14:paraId="4F7B887E">
      <w:pPr>
        <w:autoSpaceDE w:val="0"/>
        <w:autoSpaceDN w:val="0"/>
        <w:spacing w:line="360" w:lineRule="auto"/>
        <w:ind w:firstLine="480" w:firstLineChars="200"/>
        <w:rPr>
          <w:rFonts w:ascii="宋体" w:hAnsi="宋体" w:cs="Arial"/>
          <w:sz w:val="24"/>
        </w:rPr>
      </w:pPr>
      <w:r>
        <w:rPr>
          <w:rFonts w:hint="eastAsia" w:ascii="宋体" w:hAnsi="宋体" w:cs="Arial"/>
          <w:sz w:val="24"/>
        </w:rPr>
        <w:t>1、因不可抗力因素使合同某些内容有变更必要的，双方应通过协商在 7 天内达成进一步履行合同的协议；因不可抗力致使合同不能履行的，经甲乙双方协商一致，合同终止。</w:t>
      </w:r>
    </w:p>
    <w:p w14:paraId="1FBE2870">
      <w:pPr>
        <w:autoSpaceDE w:val="0"/>
        <w:autoSpaceDN w:val="0"/>
        <w:spacing w:line="360" w:lineRule="auto"/>
        <w:ind w:firstLine="480" w:firstLineChars="200"/>
        <w:rPr>
          <w:rFonts w:ascii="宋体" w:hAnsi="宋体" w:cs="Arial"/>
          <w:sz w:val="24"/>
        </w:rPr>
      </w:pPr>
      <w:r>
        <w:rPr>
          <w:rFonts w:hint="eastAsia" w:ascii="宋体" w:hAnsi="宋体" w:cs="Arial"/>
          <w:sz w:val="24"/>
        </w:rPr>
        <w:t>2、除法律、法规规定的不可抗力情形外，双方约定出现因法律、政策调整等致使本合同无法继续履行必要或可能的，亦视为不可抗力。</w:t>
      </w:r>
    </w:p>
    <w:p w14:paraId="5A256605">
      <w:pPr>
        <w:autoSpaceDE w:val="0"/>
        <w:autoSpaceDN w:val="0"/>
        <w:spacing w:line="360" w:lineRule="auto"/>
        <w:outlineLvl w:val="1"/>
        <w:rPr>
          <w:rFonts w:ascii="宋体" w:hAnsi="宋体" w:cs="Arial"/>
          <w:b/>
          <w:sz w:val="24"/>
          <w:lang w:val="zh-CN"/>
        </w:rPr>
      </w:pPr>
      <w:bookmarkStart w:id="329" w:name="_Toc11408"/>
      <w:r>
        <w:rPr>
          <w:rFonts w:ascii="宋体" w:hAnsi="宋体" w:cs="Arial"/>
          <w:b/>
          <w:sz w:val="24"/>
          <w:lang w:val="zh-CN"/>
        </w:rPr>
        <w:t>八、知识产权</w:t>
      </w:r>
      <w:bookmarkEnd w:id="329"/>
    </w:p>
    <w:p w14:paraId="5AD1CC81">
      <w:pPr>
        <w:autoSpaceDE w:val="0"/>
        <w:autoSpaceDN w:val="0"/>
        <w:spacing w:line="360" w:lineRule="auto"/>
        <w:ind w:firstLine="480" w:firstLineChars="200"/>
        <w:rPr>
          <w:rFonts w:ascii="宋体" w:hAnsi="宋体" w:cs="Arial"/>
          <w:sz w:val="24"/>
        </w:rPr>
      </w:pPr>
      <w:r>
        <w:rPr>
          <w:rFonts w:ascii="宋体" w:hAnsi="宋体" w:cs="Arial"/>
          <w:sz w:val="24"/>
          <w:lang w:val="zh-CN"/>
        </w:rPr>
        <w:t>本合同的所有成果知识产权归甲方所有。</w:t>
      </w:r>
    </w:p>
    <w:p w14:paraId="220EFA28">
      <w:pPr>
        <w:autoSpaceDE w:val="0"/>
        <w:autoSpaceDN w:val="0"/>
        <w:spacing w:line="360" w:lineRule="auto"/>
        <w:outlineLvl w:val="1"/>
        <w:rPr>
          <w:rFonts w:ascii="宋体" w:hAnsi="宋体" w:cs="Arial"/>
          <w:b/>
          <w:sz w:val="24"/>
        </w:rPr>
      </w:pPr>
      <w:bookmarkStart w:id="330" w:name="_Toc13893"/>
      <w:r>
        <w:rPr>
          <w:rFonts w:ascii="宋体" w:hAnsi="宋体" w:cs="Arial"/>
          <w:b/>
          <w:sz w:val="24"/>
          <w:lang w:val="zh-CN"/>
        </w:rPr>
        <w:t>九、</w:t>
      </w:r>
      <w:r>
        <w:rPr>
          <w:rFonts w:hint="eastAsia" w:ascii="宋体" w:hAnsi="宋体" w:cs="Arial"/>
          <w:b/>
          <w:sz w:val="24"/>
        </w:rPr>
        <w:t>保密条款</w:t>
      </w:r>
      <w:bookmarkEnd w:id="330"/>
    </w:p>
    <w:p w14:paraId="312FD513">
      <w:pPr>
        <w:autoSpaceDE w:val="0"/>
        <w:spacing w:line="360" w:lineRule="auto"/>
        <w:ind w:firstLine="360"/>
        <w:rPr>
          <w:rFonts w:ascii="宋体" w:hAnsi="宋体" w:cs="Arial"/>
          <w:sz w:val="24"/>
          <w:lang w:val="zh-CN"/>
        </w:rPr>
      </w:pPr>
      <w:r>
        <w:rPr>
          <w:rFonts w:hint="eastAsia" w:ascii="宋体" w:hAnsi="宋体" w:cs="Arial"/>
          <w:sz w:val="24"/>
          <w:lang w:val="zh-CN"/>
        </w:rPr>
        <w:t>乙方对履行本合同过程中了解和掌握的本项目涉及的国家秘密、商业秘密、技术秘密负有保密义务，未经甲方授权不得向任何人披露。保密资料除非为本项目执行的需要或得到甲方同意，乙方不得向任何第三方披露乙方已得到保密资料和项目正在执行的情况。乙方或乙方有关人员违反保密义务的，应当承担相应责任。</w:t>
      </w:r>
    </w:p>
    <w:p w14:paraId="4F0D54E0">
      <w:pPr>
        <w:autoSpaceDE w:val="0"/>
        <w:autoSpaceDN w:val="0"/>
        <w:spacing w:line="360" w:lineRule="auto"/>
        <w:outlineLvl w:val="1"/>
        <w:rPr>
          <w:rFonts w:ascii="宋体" w:hAnsi="宋体" w:cs="Arial"/>
          <w:b/>
          <w:sz w:val="24"/>
        </w:rPr>
      </w:pPr>
      <w:bookmarkStart w:id="331" w:name="_Toc12829"/>
      <w:r>
        <w:rPr>
          <w:rFonts w:ascii="宋体" w:hAnsi="宋体" w:cs="Arial"/>
          <w:b/>
          <w:sz w:val="24"/>
          <w:lang w:val="zh-CN"/>
        </w:rPr>
        <w:t>十、合同争议解决</w:t>
      </w:r>
      <w:bookmarkEnd w:id="331"/>
    </w:p>
    <w:p w14:paraId="28CA6AA6">
      <w:pPr>
        <w:autoSpaceDE w:val="0"/>
        <w:spacing w:line="360" w:lineRule="auto"/>
        <w:ind w:firstLine="360"/>
        <w:rPr>
          <w:rFonts w:ascii="宋体" w:hAnsi="宋体" w:cs="Arial"/>
          <w:sz w:val="24"/>
          <w:lang w:val="zh-CN"/>
        </w:rPr>
      </w:pPr>
      <w:r>
        <w:rPr>
          <w:rFonts w:hint="eastAsia" w:ascii="宋体" w:hAnsi="宋体" w:cs="Arial"/>
          <w:sz w:val="24"/>
          <w:lang w:val="zh-CN"/>
        </w:rPr>
        <w:t>1.因履行本合同引起的或与本合同有关的争议，甲乙双方应首先通过友好协商解决，如果协商不能解决，甲乙双方同意向甲方所在地有管辖权的人民法院提起诉讼。</w:t>
      </w:r>
    </w:p>
    <w:p w14:paraId="10A59EC8">
      <w:pPr>
        <w:autoSpaceDE w:val="0"/>
        <w:spacing w:line="360" w:lineRule="auto"/>
        <w:ind w:firstLine="360"/>
        <w:outlineLvl w:val="2"/>
        <w:rPr>
          <w:rFonts w:ascii="宋体" w:hAnsi="宋体" w:cs="Arial"/>
          <w:sz w:val="24"/>
          <w:lang w:val="zh-CN"/>
        </w:rPr>
      </w:pPr>
      <w:bookmarkStart w:id="332" w:name="_Toc14047"/>
      <w:r>
        <w:rPr>
          <w:rFonts w:hint="eastAsia" w:ascii="宋体" w:hAnsi="宋体" w:cs="Arial"/>
          <w:sz w:val="24"/>
          <w:lang w:val="zh-CN"/>
        </w:rPr>
        <w:t>2.诉讼期间，本合同继续履行。</w:t>
      </w:r>
      <w:bookmarkEnd w:id="332"/>
    </w:p>
    <w:p w14:paraId="594ECBD6">
      <w:pPr>
        <w:autoSpaceDE w:val="0"/>
        <w:autoSpaceDN w:val="0"/>
        <w:spacing w:line="360" w:lineRule="auto"/>
        <w:outlineLvl w:val="1"/>
        <w:rPr>
          <w:rFonts w:ascii="宋体" w:hAnsi="宋体" w:cs="Arial"/>
          <w:b/>
          <w:sz w:val="24"/>
        </w:rPr>
      </w:pPr>
      <w:bookmarkStart w:id="333" w:name="_Toc13866"/>
      <w:r>
        <w:rPr>
          <w:rFonts w:ascii="宋体" w:hAnsi="宋体" w:cs="Arial"/>
          <w:b/>
          <w:sz w:val="24"/>
          <w:lang w:val="zh-CN"/>
        </w:rPr>
        <w:t>十一、合同生效及其它</w:t>
      </w:r>
      <w:r>
        <w:rPr>
          <w:rFonts w:ascii="宋体" w:hAnsi="宋体" w:cs="Arial"/>
          <w:b/>
          <w:sz w:val="24"/>
        </w:rPr>
        <w:t>：</w:t>
      </w:r>
      <w:bookmarkEnd w:id="333"/>
    </w:p>
    <w:p w14:paraId="18783389">
      <w:pPr>
        <w:autoSpaceDE w:val="0"/>
        <w:autoSpaceDN w:val="0"/>
        <w:spacing w:line="360" w:lineRule="auto"/>
        <w:ind w:firstLine="480" w:firstLineChars="200"/>
        <w:rPr>
          <w:rFonts w:ascii="宋体" w:hAnsi="宋体" w:cs="Arial"/>
          <w:sz w:val="24"/>
        </w:rPr>
      </w:pPr>
      <w:r>
        <w:rPr>
          <w:rFonts w:hint="eastAsia" w:ascii="宋体" w:hAnsi="宋体" w:cs="Arial"/>
          <w:sz w:val="24"/>
        </w:rPr>
        <w:t>1.本合同一式</w:t>
      </w:r>
      <w:r>
        <w:rPr>
          <w:rFonts w:hint="eastAsia" w:ascii="宋体" w:hAnsi="宋体" w:cs="Arial"/>
          <w:sz w:val="24"/>
          <w:lang w:val="en-US" w:eastAsia="zh-CN"/>
        </w:rPr>
        <w:t>捌</w:t>
      </w:r>
      <w:r>
        <w:rPr>
          <w:rFonts w:hint="eastAsia" w:ascii="宋体" w:hAnsi="宋体" w:cs="Arial"/>
          <w:sz w:val="24"/>
        </w:rPr>
        <w:t>份，甲乙双方各执</w:t>
      </w:r>
      <w:r>
        <w:rPr>
          <w:rFonts w:hint="eastAsia" w:ascii="宋体" w:hAnsi="宋体" w:cs="Arial"/>
          <w:sz w:val="24"/>
          <w:lang w:val="en-US" w:eastAsia="zh-CN"/>
        </w:rPr>
        <w:t>叁</w:t>
      </w:r>
      <w:r>
        <w:rPr>
          <w:rFonts w:hint="eastAsia" w:ascii="宋体" w:hAnsi="宋体" w:cs="Arial"/>
          <w:sz w:val="24"/>
        </w:rPr>
        <w:t>份，招标代理公司留存贰份，经双方法定代表人（负责人）或授权代表签字并加盖公章即为生效。</w:t>
      </w:r>
    </w:p>
    <w:p w14:paraId="044DC1E1">
      <w:pPr>
        <w:autoSpaceDE w:val="0"/>
        <w:autoSpaceDN w:val="0"/>
        <w:spacing w:line="360" w:lineRule="auto"/>
        <w:ind w:firstLine="480" w:firstLineChars="200"/>
        <w:rPr>
          <w:rFonts w:ascii="宋体" w:hAnsi="宋体" w:cs="Arial"/>
          <w:sz w:val="24"/>
        </w:rPr>
      </w:pPr>
      <w:r>
        <w:rPr>
          <w:rFonts w:hint="eastAsia" w:ascii="宋体" w:hAnsi="宋体" w:cs="Arial"/>
          <w:sz w:val="24"/>
        </w:rPr>
        <w:t>2.本合同未尽事宜，甲乙双方可另行协商签订补充合同，补充协议与本合同具有同等的法律效力。</w:t>
      </w:r>
    </w:p>
    <w:p w14:paraId="140420BE">
      <w:pPr>
        <w:autoSpaceDE w:val="0"/>
        <w:autoSpaceDN w:val="0"/>
        <w:spacing w:line="360" w:lineRule="auto"/>
        <w:ind w:firstLine="480" w:firstLineChars="200"/>
        <w:rPr>
          <w:rFonts w:ascii="宋体" w:hAnsi="宋体" w:cs="Arial"/>
          <w:sz w:val="24"/>
          <w:lang w:val="zh-CN"/>
        </w:rPr>
      </w:pPr>
      <w:r>
        <w:rPr>
          <w:rFonts w:ascii="宋体" w:hAnsi="宋体" w:cs="Arial"/>
          <w:sz w:val="24"/>
        </w:rPr>
        <w:t>3</w:t>
      </w:r>
      <w:r>
        <w:rPr>
          <w:rFonts w:hint="eastAsia" w:ascii="宋体" w:hAnsi="宋体" w:cs="Arial"/>
          <w:sz w:val="24"/>
        </w:rPr>
        <w:t>．</w:t>
      </w:r>
      <w:r>
        <w:rPr>
          <w:rFonts w:ascii="宋体" w:hAnsi="宋体" w:cs="Arial"/>
          <w:sz w:val="24"/>
          <w:lang w:val="zh-CN"/>
        </w:rPr>
        <w:t>本合同的组成包含《合同通用条款》，可自行在青海政府采购网下载《合同通用条款》。</w:t>
      </w:r>
    </w:p>
    <w:p w14:paraId="580503DB">
      <w:pPr>
        <w:autoSpaceDE w:val="0"/>
        <w:autoSpaceDN w:val="0"/>
        <w:spacing w:line="360" w:lineRule="auto"/>
        <w:rPr>
          <w:rFonts w:ascii="宋体" w:hAnsi="宋体" w:cs="Arial"/>
          <w:sz w:val="24"/>
        </w:rPr>
      </w:pPr>
    </w:p>
    <w:p w14:paraId="6E0C9402">
      <w:pPr>
        <w:autoSpaceDE w:val="0"/>
        <w:spacing w:line="360" w:lineRule="auto"/>
        <w:rPr>
          <w:rFonts w:hint="eastAsia" w:ascii="宋体" w:hAnsi="宋体" w:cs="宋体"/>
          <w:kern w:val="0"/>
          <w:sz w:val="24"/>
          <w:lang w:val="zh-CN"/>
        </w:rPr>
      </w:pPr>
    </w:p>
    <w:p w14:paraId="169B488D">
      <w:pPr>
        <w:autoSpaceDE w:val="0"/>
        <w:spacing w:line="360" w:lineRule="auto"/>
        <w:rPr>
          <w:rFonts w:ascii="宋体" w:hAnsi="宋体" w:cs="宋体"/>
          <w:kern w:val="0"/>
          <w:sz w:val="24"/>
        </w:rPr>
      </w:pPr>
      <w:r>
        <w:rPr>
          <w:rFonts w:hint="eastAsia" w:ascii="宋体" w:hAnsi="宋体" w:cs="宋体"/>
          <w:kern w:val="0"/>
          <w:sz w:val="24"/>
          <w:lang w:val="zh-CN"/>
        </w:rPr>
        <w:t>甲方（盖章）：</w:t>
      </w:r>
      <w:r>
        <w:rPr>
          <w:rFonts w:hint="eastAsia" w:ascii="宋体" w:hAnsi="宋体" w:cs="宋体"/>
          <w:kern w:val="0"/>
          <w:sz w:val="24"/>
          <w:lang w:val="en-US" w:eastAsia="zh-CN"/>
        </w:rPr>
        <w:t xml:space="preserve">                            </w:t>
      </w:r>
      <w:r>
        <w:rPr>
          <w:rFonts w:hint="eastAsia" w:ascii="宋体" w:hAnsi="宋体" w:cs="宋体"/>
          <w:kern w:val="0"/>
          <w:sz w:val="24"/>
          <w:lang w:val="zh-CN"/>
        </w:rPr>
        <w:t>乙方（盖章）：</w:t>
      </w:r>
    </w:p>
    <w:p w14:paraId="635EB63E">
      <w:pPr>
        <w:autoSpaceDE w:val="0"/>
        <w:spacing w:line="360" w:lineRule="auto"/>
        <w:rPr>
          <w:rFonts w:ascii="宋体" w:hAnsi="宋体" w:cs="宋体"/>
          <w:kern w:val="0"/>
          <w:sz w:val="24"/>
        </w:rPr>
      </w:pPr>
      <w:r>
        <w:rPr>
          <w:rFonts w:hint="eastAsia" w:ascii="宋体" w:hAnsi="宋体" w:cs="宋体"/>
          <w:kern w:val="0"/>
          <w:sz w:val="24"/>
          <w:lang w:val="zh-CN"/>
        </w:rPr>
        <w:t>法定代表人或委托代理人</w:t>
      </w: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hint="eastAsia" w:ascii="宋体" w:hAnsi="宋体" w:cs="宋体"/>
          <w:kern w:val="0"/>
          <w:sz w:val="24"/>
          <w:lang w:val="zh-CN"/>
        </w:rPr>
        <w:t>法定代表人或委托代理人</w:t>
      </w:r>
      <w:r>
        <w:rPr>
          <w:rFonts w:hint="eastAsia" w:ascii="宋体" w:hAnsi="宋体" w:cs="宋体"/>
          <w:kern w:val="0"/>
          <w:sz w:val="24"/>
        </w:rPr>
        <w:t>：</w:t>
      </w:r>
    </w:p>
    <w:p w14:paraId="46F77D6B">
      <w:pPr>
        <w:autoSpaceDE w:val="0"/>
        <w:spacing w:line="360" w:lineRule="auto"/>
        <w:ind w:firstLine="5040" w:firstLineChars="2100"/>
        <w:rPr>
          <w:rFonts w:ascii="宋体" w:hAnsi="宋体" w:cs="宋体"/>
          <w:kern w:val="0"/>
          <w:sz w:val="24"/>
        </w:rPr>
      </w:pPr>
      <w:r>
        <w:rPr>
          <w:rFonts w:hint="eastAsia" w:ascii="宋体" w:hAnsi="宋体" w:cs="宋体"/>
          <w:kern w:val="0"/>
          <w:sz w:val="24"/>
          <w:lang w:val="zh-CN"/>
        </w:rPr>
        <w:t>开户银行：</w:t>
      </w:r>
    </w:p>
    <w:p w14:paraId="15E826D0">
      <w:pPr>
        <w:autoSpaceDE w:val="0"/>
        <w:spacing w:line="360" w:lineRule="auto"/>
        <w:rPr>
          <w:rFonts w:ascii="宋体" w:hAnsi="宋体" w:cs="宋体"/>
          <w:kern w:val="0"/>
          <w:sz w:val="24"/>
          <w:lang w:val="zh-CN"/>
        </w:rPr>
      </w:pPr>
      <w:r>
        <w:rPr>
          <w:rFonts w:hint="eastAsia" w:ascii="宋体" w:hAnsi="宋体" w:cs="宋体"/>
          <w:kern w:val="0"/>
          <w:sz w:val="24"/>
          <w:lang w:val="zh-CN"/>
        </w:rPr>
        <w:t>联系电话：</w:t>
      </w:r>
      <w:r>
        <w:rPr>
          <w:rFonts w:hint="eastAsia" w:ascii="宋体" w:hAnsi="宋体" w:cs="宋体"/>
          <w:kern w:val="0"/>
          <w:sz w:val="24"/>
          <w:lang w:val="en-US" w:eastAsia="zh-CN"/>
        </w:rPr>
        <w:t xml:space="preserve">                                </w:t>
      </w:r>
      <w:r>
        <w:rPr>
          <w:rFonts w:hint="eastAsia" w:ascii="宋体" w:hAnsi="宋体" w:cs="宋体"/>
          <w:kern w:val="0"/>
          <w:sz w:val="24"/>
          <w:lang w:val="zh-CN"/>
        </w:rPr>
        <w:t xml:space="preserve">账号： </w:t>
      </w:r>
    </w:p>
    <w:p w14:paraId="2E24BD7F">
      <w:pPr>
        <w:pStyle w:val="32"/>
        <w:ind w:firstLine="0" w:firstLineChars="0"/>
        <w:rPr>
          <w:sz w:val="24"/>
        </w:rPr>
      </w:pPr>
      <w:r>
        <w:rPr>
          <w:rFonts w:hint="eastAsia"/>
          <w:sz w:val="24"/>
        </w:rPr>
        <w:t xml:space="preserve">地址：                                </w:t>
      </w:r>
      <w:r>
        <w:rPr>
          <w:rFonts w:hint="eastAsia"/>
          <w:sz w:val="24"/>
          <w:lang w:val="en-US" w:eastAsia="zh-CN"/>
        </w:rPr>
        <w:t xml:space="preserve">    </w:t>
      </w:r>
      <w:r>
        <w:rPr>
          <w:rFonts w:hint="eastAsia"/>
          <w:sz w:val="24"/>
        </w:rPr>
        <w:t>地址：</w:t>
      </w:r>
    </w:p>
    <w:p w14:paraId="1B8C2B63">
      <w:pPr>
        <w:autoSpaceDE w:val="0"/>
        <w:spacing w:line="360" w:lineRule="auto"/>
        <w:rPr>
          <w:rFonts w:ascii="宋体" w:hAnsi="宋体" w:cs="宋体"/>
          <w:kern w:val="0"/>
          <w:sz w:val="24"/>
        </w:rPr>
      </w:pPr>
      <w:r>
        <w:rPr>
          <w:rFonts w:hint="eastAsia" w:ascii="宋体" w:hAnsi="宋体" w:cs="宋体"/>
          <w:kern w:val="0"/>
          <w:sz w:val="24"/>
        </w:rPr>
        <w:t>联系电话：</w:t>
      </w:r>
      <w:r>
        <w:rPr>
          <w:rFonts w:hint="eastAsia" w:ascii="宋体" w:hAnsi="宋体" w:cs="宋体"/>
          <w:kern w:val="0"/>
          <w:sz w:val="24"/>
          <w:lang w:val="en-US" w:eastAsia="zh-CN"/>
        </w:rPr>
        <w:t xml:space="preserve">                                </w:t>
      </w:r>
      <w:r>
        <w:rPr>
          <w:rFonts w:hint="eastAsia" w:ascii="宋体" w:hAnsi="宋体" w:cs="宋体"/>
          <w:kern w:val="0"/>
          <w:sz w:val="24"/>
          <w:lang w:val="zh-CN"/>
        </w:rPr>
        <w:t>联系电话：</w:t>
      </w:r>
    </w:p>
    <w:p w14:paraId="1DC78EEF">
      <w:pPr>
        <w:autoSpaceDE w:val="0"/>
        <w:spacing w:line="360" w:lineRule="auto"/>
        <w:ind w:firstLine="1680" w:firstLineChars="700"/>
        <w:jc w:val="left"/>
        <w:rPr>
          <w:rFonts w:hint="eastAsia" w:ascii="宋体" w:hAnsi="宋体" w:cs="宋体"/>
          <w:kern w:val="0"/>
          <w:sz w:val="24"/>
          <w:lang w:val="zh-CN"/>
        </w:rPr>
      </w:pPr>
    </w:p>
    <w:p w14:paraId="3591B801">
      <w:pPr>
        <w:autoSpaceDE w:val="0"/>
        <w:spacing w:line="360" w:lineRule="auto"/>
        <w:ind w:firstLine="1680" w:firstLineChars="700"/>
        <w:jc w:val="left"/>
        <w:rPr>
          <w:rFonts w:ascii="宋体" w:hAnsi="宋体" w:cs="宋体"/>
          <w:kern w:val="0"/>
          <w:sz w:val="24"/>
        </w:rPr>
      </w:pPr>
      <w:r>
        <w:rPr>
          <w:rFonts w:hint="eastAsia" w:ascii="宋体" w:hAnsi="宋体" w:cs="宋体"/>
          <w:kern w:val="0"/>
          <w:sz w:val="24"/>
          <w:lang w:val="zh-CN"/>
        </w:rPr>
        <w:t>签约时间：</w:t>
      </w:r>
      <w:r>
        <w:rPr>
          <w:rFonts w:hint="eastAsia" w:ascii="宋体" w:hAnsi="宋体" w:cs="宋体"/>
          <w:kern w:val="0"/>
          <w:sz w:val="24"/>
          <w:lang w:val="en-US" w:eastAsia="zh-CN"/>
        </w:rPr>
        <w:t xml:space="preserve"> </w:t>
      </w:r>
      <w:r>
        <w:rPr>
          <w:rFonts w:hint="eastAsia" w:ascii="宋体" w:hAnsi="宋体" w:cs="宋体"/>
          <w:kern w:val="0"/>
          <w:sz w:val="24"/>
          <w:lang w:val="zh-CN"/>
        </w:rPr>
        <w:t>年</w:t>
      </w:r>
      <w:r>
        <w:rPr>
          <w:rFonts w:hint="eastAsia" w:ascii="宋体" w:hAnsi="宋体" w:cs="宋体"/>
          <w:kern w:val="0"/>
          <w:sz w:val="24"/>
          <w:lang w:val="en-US" w:eastAsia="zh-CN"/>
        </w:rPr>
        <w:t xml:space="preserve">  </w:t>
      </w:r>
      <w:r>
        <w:rPr>
          <w:rFonts w:hint="eastAsia" w:ascii="宋体" w:hAnsi="宋体" w:cs="宋体"/>
          <w:kern w:val="0"/>
          <w:sz w:val="24"/>
          <w:lang w:val="zh-CN"/>
        </w:rPr>
        <w:t>月</w:t>
      </w:r>
      <w:r>
        <w:rPr>
          <w:rFonts w:hint="eastAsia" w:ascii="宋体" w:hAnsi="宋体" w:cs="宋体"/>
          <w:kern w:val="0"/>
          <w:sz w:val="24"/>
          <w:lang w:val="en-US" w:eastAsia="zh-CN"/>
        </w:rPr>
        <w:t xml:space="preserve">   </w:t>
      </w:r>
      <w:r>
        <w:rPr>
          <w:rFonts w:hint="eastAsia" w:ascii="宋体" w:hAnsi="宋体" w:cs="宋体"/>
          <w:kern w:val="0"/>
          <w:sz w:val="24"/>
          <w:lang w:val="zh-CN"/>
        </w:rPr>
        <w:t>日</w:t>
      </w:r>
    </w:p>
    <w:p w14:paraId="0A8A64AB">
      <w:pPr>
        <w:autoSpaceDE w:val="0"/>
        <w:spacing w:line="360" w:lineRule="auto"/>
        <w:rPr>
          <w:rFonts w:ascii="宋体" w:hAnsi="宋体" w:cs="宋体"/>
          <w:kern w:val="0"/>
          <w:sz w:val="24"/>
          <w:lang w:val="zh-CN"/>
        </w:rPr>
      </w:pPr>
    </w:p>
    <w:p w14:paraId="122769C4">
      <w:pPr>
        <w:autoSpaceDE w:val="0"/>
        <w:spacing w:line="360" w:lineRule="auto"/>
        <w:rPr>
          <w:rFonts w:hint="eastAsia" w:ascii="宋体" w:hAnsi="宋体" w:cs="宋体"/>
          <w:kern w:val="0"/>
          <w:sz w:val="24"/>
          <w:lang w:val="zh-CN"/>
        </w:rPr>
      </w:pPr>
    </w:p>
    <w:p w14:paraId="3C3D89ED">
      <w:pPr>
        <w:autoSpaceDE w:val="0"/>
        <w:spacing w:line="360" w:lineRule="auto"/>
        <w:rPr>
          <w:rFonts w:ascii="宋体" w:hAnsi="宋体" w:cs="宋体"/>
          <w:kern w:val="0"/>
          <w:sz w:val="24"/>
        </w:rPr>
      </w:pPr>
      <w:r>
        <w:rPr>
          <w:rFonts w:hint="eastAsia" w:ascii="宋体" w:hAnsi="宋体" w:cs="宋体"/>
          <w:kern w:val="0"/>
          <w:sz w:val="24"/>
          <w:lang w:val="zh-CN"/>
        </w:rPr>
        <w:t>采购代理机构：青海国德招标代理有限公司</w:t>
      </w:r>
    </w:p>
    <w:p w14:paraId="12BC59AE">
      <w:pPr>
        <w:rPr>
          <w:rFonts w:ascii="宋体" w:hAnsi="宋体" w:cs="宋体"/>
          <w:kern w:val="0"/>
          <w:sz w:val="24"/>
          <w:lang w:val="zh-CN"/>
        </w:rPr>
      </w:pPr>
      <w:r>
        <w:rPr>
          <w:rFonts w:hint="eastAsia" w:ascii="宋体" w:hAnsi="宋体" w:cs="宋体"/>
          <w:kern w:val="0"/>
          <w:sz w:val="24"/>
          <w:lang w:val="zh-CN"/>
        </w:rPr>
        <w:t>负责人或经办人：</w:t>
      </w:r>
    </w:p>
    <w:p w14:paraId="69E48136">
      <w:pPr>
        <w:ind w:firstLine="2400" w:firstLineChars="1000"/>
        <w:rPr>
          <w:rFonts w:ascii="宋体" w:hAnsi="宋体" w:cs="微软雅黑"/>
          <w:kern w:val="0"/>
          <w:sz w:val="24"/>
        </w:rPr>
      </w:pPr>
      <w:r>
        <w:rPr>
          <w:rFonts w:hint="eastAsia" w:ascii="宋体" w:hAnsi="宋体" w:cs="宋体"/>
          <w:kern w:val="0"/>
          <w:sz w:val="24"/>
          <w:lang w:val="zh-CN"/>
        </w:rPr>
        <w:t>时间：</w:t>
      </w:r>
      <w:r>
        <w:rPr>
          <w:rFonts w:hint="eastAsia" w:ascii="宋体" w:hAnsi="宋体" w:cs="宋体"/>
          <w:kern w:val="0"/>
          <w:sz w:val="24"/>
          <w:lang w:val="en-US" w:eastAsia="zh-CN"/>
        </w:rPr>
        <w:t xml:space="preserve"> </w:t>
      </w:r>
      <w:r>
        <w:rPr>
          <w:rFonts w:hint="eastAsia" w:ascii="宋体" w:hAnsi="宋体" w:cs="宋体"/>
          <w:kern w:val="0"/>
          <w:sz w:val="24"/>
          <w:lang w:val="zh-CN"/>
        </w:rPr>
        <w:t>年</w:t>
      </w:r>
      <w:r>
        <w:rPr>
          <w:rFonts w:hint="eastAsia" w:ascii="宋体" w:hAnsi="宋体" w:cs="宋体"/>
          <w:kern w:val="0"/>
          <w:sz w:val="24"/>
          <w:lang w:val="en-US" w:eastAsia="zh-CN"/>
        </w:rPr>
        <w:t xml:space="preserve">  </w:t>
      </w:r>
      <w:r>
        <w:rPr>
          <w:rFonts w:hint="eastAsia" w:ascii="宋体" w:hAnsi="宋体" w:cs="宋体"/>
          <w:kern w:val="0"/>
          <w:sz w:val="24"/>
          <w:lang w:val="zh-CN"/>
        </w:rPr>
        <w:t>月</w:t>
      </w:r>
      <w:r>
        <w:rPr>
          <w:rFonts w:hint="eastAsia" w:ascii="宋体" w:hAnsi="宋体" w:cs="宋体"/>
          <w:kern w:val="0"/>
          <w:sz w:val="24"/>
          <w:lang w:val="en-US" w:eastAsia="zh-CN"/>
        </w:rPr>
        <w:t xml:space="preserve">  </w:t>
      </w:r>
      <w:r>
        <w:rPr>
          <w:rFonts w:hint="eastAsia" w:ascii="宋体" w:hAnsi="宋体" w:cs="宋体"/>
          <w:kern w:val="0"/>
          <w:sz w:val="24"/>
        </w:rPr>
        <w:t xml:space="preserve"> 日</w:t>
      </w:r>
    </w:p>
    <w:p w14:paraId="4A15FD24">
      <w:pPr>
        <w:ind w:firstLine="2400" w:firstLineChars="1000"/>
        <w:rPr>
          <w:rFonts w:ascii="宋体" w:hAnsi="宋体" w:cs="微软雅黑"/>
          <w:kern w:val="0"/>
          <w:sz w:val="24"/>
        </w:rPr>
      </w:pPr>
    </w:p>
    <w:p w14:paraId="36FAE9D1">
      <w:pPr>
        <w:rPr>
          <w:rFonts w:ascii="宋体" w:hAnsi="宋体" w:cs="Arial"/>
          <w:b/>
          <w:bCs/>
          <w:sz w:val="28"/>
          <w:lang w:val="zh-CN"/>
        </w:rPr>
      </w:pPr>
      <w:r>
        <w:rPr>
          <w:rFonts w:ascii="宋体" w:hAnsi="宋体" w:cs="Arial"/>
          <w:b/>
          <w:bCs/>
          <w:sz w:val="28"/>
          <w:lang w:val="zh-CN"/>
        </w:rPr>
        <w:br w:type="page"/>
      </w:r>
    </w:p>
    <w:p w14:paraId="69F9668E">
      <w:pPr>
        <w:autoSpaceDE w:val="0"/>
        <w:autoSpaceDN w:val="0"/>
        <w:spacing w:line="360" w:lineRule="auto"/>
        <w:jc w:val="center"/>
        <w:outlineLvl w:val="2"/>
        <w:rPr>
          <w:rFonts w:ascii="宋体" w:hAnsi="宋体" w:cs="Arial"/>
          <w:b/>
          <w:bCs/>
        </w:rPr>
      </w:pPr>
      <w:bookmarkStart w:id="334" w:name="_Toc27722"/>
      <w:r>
        <w:rPr>
          <w:rFonts w:ascii="宋体" w:hAnsi="宋体" w:cs="Arial"/>
          <w:b/>
          <w:bCs/>
          <w:sz w:val="28"/>
          <w:lang w:val="zh-CN"/>
        </w:rPr>
        <w:t>合同通用条款</w:t>
      </w:r>
      <w:bookmarkEnd w:id="334"/>
    </w:p>
    <w:p w14:paraId="0D4A9978">
      <w:pPr>
        <w:autoSpaceDE w:val="0"/>
        <w:autoSpaceDN w:val="0"/>
        <w:spacing w:line="360" w:lineRule="auto"/>
        <w:ind w:firstLine="480" w:firstLineChars="200"/>
        <w:rPr>
          <w:rFonts w:ascii="宋体" w:hAnsi="宋体" w:cs="Arial"/>
          <w:sz w:val="24"/>
        </w:rPr>
      </w:pPr>
      <w:r>
        <w:rPr>
          <w:rFonts w:ascii="宋体" w:hAnsi="宋体" w:cs="Arial"/>
          <w:sz w:val="24"/>
          <w:lang w:val="zh-CN"/>
        </w:rPr>
        <w:t>根据《中华人民共和国合同法》、《中华人民共和国政府采购法》的规定，合同双方经协商达成一致，自愿订立本合同，遵循公平原则明确双方的权利、义务，确保双方诚实守信地履行合同。</w:t>
      </w:r>
    </w:p>
    <w:p w14:paraId="7A3636E4">
      <w:pPr>
        <w:autoSpaceDE w:val="0"/>
        <w:autoSpaceDN w:val="0"/>
        <w:spacing w:line="360" w:lineRule="auto"/>
        <w:outlineLvl w:val="2"/>
        <w:rPr>
          <w:rFonts w:ascii="宋体" w:hAnsi="宋体" w:cs="Arial"/>
          <w:b/>
          <w:bCs/>
          <w:sz w:val="24"/>
        </w:rPr>
      </w:pPr>
      <w:bookmarkStart w:id="335" w:name="_Toc22485"/>
      <w:r>
        <w:rPr>
          <w:rFonts w:ascii="宋体" w:hAnsi="宋体" w:cs="Arial"/>
          <w:b/>
          <w:bCs/>
          <w:sz w:val="24"/>
        </w:rPr>
        <w:t>1</w:t>
      </w:r>
      <w:r>
        <w:rPr>
          <w:rFonts w:hint="eastAsia" w:ascii="宋体" w:hAnsi="宋体" w:cs="Arial"/>
          <w:b/>
          <w:bCs/>
          <w:sz w:val="24"/>
        </w:rPr>
        <w:t>．</w:t>
      </w:r>
      <w:r>
        <w:rPr>
          <w:rFonts w:ascii="宋体" w:hAnsi="宋体" w:cs="Arial"/>
          <w:b/>
          <w:bCs/>
          <w:sz w:val="24"/>
          <w:lang w:val="zh-CN"/>
        </w:rPr>
        <w:t>定义</w:t>
      </w:r>
      <w:bookmarkEnd w:id="335"/>
    </w:p>
    <w:p w14:paraId="7B80938A">
      <w:pPr>
        <w:autoSpaceDE w:val="0"/>
        <w:autoSpaceDN w:val="0"/>
        <w:spacing w:line="360" w:lineRule="auto"/>
        <w:rPr>
          <w:rFonts w:ascii="宋体" w:hAnsi="宋体" w:cs="Arial"/>
          <w:sz w:val="24"/>
        </w:rPr>
      </w:pPr>
      <w:r>
        <w:rPr>
          <w:rFonts w:ascii="宋体" w:hAnsi="宋体" w:cs="Arial"/>
          <w:sz w:val="24"/>
          <w:lang w:val="zh-CN"/>
        </w:rPr>
        <w:t>本合同中的下列术语应解释为：</w:t>
      </w:r>
    </w:p>
    <w:p w14:paraId="41FC65F4">
      <w:pPr>
        <w:autoSpaceDE w:val="0"/>
        <w:autoSpaceDN w:val="0"/>
        <w:spacing w:line="360" w:lineRule="auto"/>
        <w:rPr>
          <w:rFonts w:ascii="宋体" w:hAnsi="宋体" w:cs="Arial"/>
          <w:sz w:val="24"/>
        </w:rPr>
      </w:pPr>
      <w:r>
        <w:rPr>
          <w:rFonts w:ascii="宋体" w:hAnsi="宋体" w:cs="Arial"/>
          <w:sz w:val="24"/>
        </w:rPr>
        <w:t>1.1</w:t>
      </w:r>
      <w:r>
        <w:rPr>
          <w:rFonts w:ascii="宋体" w:hAnsi="宋体" w:cs="Arial"/>
          <w:sz w:val="24"/>
          <w:lang w:val="zh-CN"/>
        </w:rPr>
        <w:t>“合同”指甲乙双方签署的、载明的甲乙双方权利义务的协议，包括所有的附件、附录和上述文件所提到的构成合同的所有文件。</w:t>
      </w:r>
    </w:p>
    <w:p w14:paraId="5F5B8DDC">
      <w:pPr>
        <w:autoSpaceDE w:val="0"/>
        <w:autoSpaceDN w:val="0"/>
        <w:spacing w:line="360" w:lineRule="auto"/>
        <w:rPr>
          <w:rFonts w:ascii="宋体" w:hAnsi="宋体" w:cs="Arial"/>
          <w:sz w:val="24"/>
        </w:rPr>
      </w:pPr>
      <w:r>
        <w:rPr>
          <w:rFonts w:ascii="宋体" w:hAnsi="宋体" w:cs="Arial"/>
          <w:sz w:val="24"/>
        </w:rPr>
        <w:t>1.2</w:t>
      </w:r>
      <w:r>
        <w:rPr>
          <w:rFonts w:ascii="宋体" w:hAnsi="宋体" w:cs="Arial"/>
          <w:sz w:val="24"/>
          <w:lang w:val="zh-CN"/>
        </w:rPr>
        <w:t>“合同金额”指根据合同规定，乙方在正确地完全履行合同义务后甲方应付给乙方的价款。</w:t>
      </w:r>
    </w:p>
    <w:p w14:paraId="4847B9AA">
      <w:pPr>
        <w:autoSpaceDE w:val="0"/>
        <w:autoSpaceDN w:val="0"/>
        <w:spacing w:line="360" w:lineRule="auto"/>
        <w:rPr>
          <w:rFonts w:ascii="宋体" w:hAnsi="宋体" w:cs="Arial"/>
          <w:sz w:val="24"/>
        </w:rPr>
      </w:pPr>
      <w:r>
        <w:rPr>
          <w:rFonts w:ascii="宋体" w:hAnsi="宋体" w:cs="Arial"/>
          <w:sz w:val="24"/>
        </w:rPr>
        <w:t>1.3</w:t>
      </w:r>
      <w:r>
        <w:rPr>
          <w:rFonts w:ascii="宋体" w:hAnsi="宋体" w:cs="Arial"/>
          <w:sz w:val="24"/>
          <w:lang w:val="zh-CN"/>
        </w:rPr>
        <w:t>“合同条款”指本合同条款。</w:t>
      </w:r>
    </w:p>
    <w:p w14:paraId="127845E0">
      <w:pPr>
        <w:autoSpaceDE w:val="0"/>
        <w:autoSpaceDN w:val="0"/>
        <w:spacing w:line="360" w:lineRule="auto"/>
        <w:rPr>
          <w:rFonts w:ascii="宋体" w:hAnsi="宋体" w:cs="Arial"/>
          <w:sz w:val="24"/>
        </w:rPr>
      </w:pPr>
      <w:r>
        <w:rPr>
          <w:rFonts w:ascii="宋体" w:hAnsi="宋体" w:cs="Arial"/>
          <w:sz w:val="24"/>
        </w:rPr>
        <w:t>1.4</w:t>
      </w:r>
      <w:r>
        <w:rPr>
          <w:rFonts w:ascii="宋体" w:hAnsi="宋体" w:cs="Arial"/>
          <w:sz w:val="24"/>
          <w:lang w:val="zh-CN"/>
        </w:rPr>
        <w:t>“货物”指乙方根据合同约定须向甲方提供的一切产品、设备、机械、仪表、备件等，包括辅助工具、使用手册等相关资料。</w:t>
      </w:r>
    </w:p>
    <w:p w14:paraId="5F4DC670">
      <w:pPr>
        <w:autoSpaceDE w:val="0"/>
        <w:autoSpaceDN w:val="0"/>
        <w:spacing w:line="360" w:lineRule="auto"/>
        <w:rPr>
          <w:rFonts w:ascii="宋体" w:hAnsi="宋体" w:cs="Arial"/>
          <w:sz w:val="24"/>
        </w:rPr>
      </w:pPr>
      <w:r>
        <w:rPr>
          <w:rFonts w:ascii="宋体" w:hAnsi="宋体" w:cs="Arial"/>
          <w:sz w:val="24"/>
        </w:rPr>
        <w:t>1.5</w:t>
      </w:r>
      <w:r>
        <w:rPr>
          <w:rFonts w:ascii="宋体" w:hAnsi="宋体" w:cs="Arial"/>
          <w:sz w:val="24"/>
          <w:lang w:val="zh-CN"/>
        </w:rPr>
        <w:t>“服务”指根据本合同规定乙方承担与供货有关的辅助服务，如运输、保险及安装、调试、提供技术援助、培训和合同中规定乙方应承担的其它义务。</w:t>
      </w:r>
    </w:p>
    <w:p w14:paraId="7C8C2F4D">
      <w:pPr>
        <w:autoSpaceDE w:val="0"/>
        <w:autoSpaceDN w:val="0"/>
        <w:spacing w:line="360" w:lineRule="auto"/>
        <w:rPr>
          <w:rFonts w:ascii="宋体" w:hAnsi="宋体" w:cs="Arial"/>
          <w:sz w:val="24"/>
        </w:rPr>
      </w:pPr>
      <w:r>
        <w:rPr>
          <w:rFonts w:ascii="宋体" w:hAnsi="宋体" w:cs="Arial"/>
          <w:sz w:val="24"/>
        </w:rPr>
        <w:t>1.6</w:t>
      </w:r>
      <w:r>
        <w:rPr>
          <w:rFonts w:ascii="宋体" w:hAnsi="宋体" w:cs="Arial"/>
          <w:sz w:val="24"/>
          <w:lang w:val="zh-CN"/>
        </w:rPr>
        <w:t>“甲方”指购买货物和服务的单位。</w:t>
      </w:r>
    </w:p>
    <w:p w14:paraId="481F8722">
      <w:pPr>
        <w:autoSpaceDE w:val="0"/>
        <w:autoSpaceDN w:val="0"/>
        <w:spacing w:line="360" w:lineRule="auto"/>
        <w:rPr>
          <w:rFonts w:ascii="宋体" w:hAnsi="宋体" w:cs="Arial"/>
          <w:sz w:val="24"/>
        </w:rPr>
      </w:pPr>
      <w:r>
        <w:rPr>
          <w:rFonts w:ascii="宋体" w:hAnsi="宋体" w:cs="Arial"/>
          <w:sz w:val="24"/>
        </w:rPr>
        <w:t>1.7</w:t>
      </w:r>
      <w:r>
        <w:rPr>
          <w:rFonts w:ascii="宋体" w:hAnsi="宋体" w:cs="Arial"/>
          <w:sz w:val="24"/>
          <w:lang w:val="zh-CN"/>
        </w:rPr>
        <w:t>“乙方”指提供本合同条款下货物和服务的公司或其他实体。</w:t>
      </w:r>
    </w:p>
    <w:p w14:paraId="25028EA3">
      <w:pPr>
        <w:autoSpaceDE w:val="0"/>
        <w:autoSpaceDN w:val="0"/>
        <w:spacing w:line="360" w:lineRule="auto"/>
        <w:rPr>
          <w:rFonts w:ascii="宋体" w:hAnsi="宋体" w:cs="Arial"/>
          <w:sz w:val="24"/>
        </w:rPr>
      </w:pPr>
      <w:r>
        <w:rPr>
          <w:rFonts w:ascii="宋体" w:hAnsi="宋体" w:cs="Arial"/>
          <w:sz w:val="24"/>
        </w:rPr>
        <w:t>1.8</w:t>
      </w:r>
      <w:r>
        <w:rPr>
          <w:rFonts w:ascii="宋体" w:hAnsi="宋体" w:cs="Arial"/>
          <w:sz w:val="24"/>
          <w:lang w:val="zh-CN"/>
        </w:rPr>
        <w:t>“现场”指合同规定货物将要运至和安装的地点。</w:t>
      </w:r>
    </w:p>
    <w:p w14:paraId="5A0E49E2">
      <w:pPr>
        <w:autoSpaceDE w:val="0"/>
        <w:autoSpaceDN w:val="0"/>
        <w:spacing w:line="360" w:lineRule="auto"/>
        <w:rPr>
          <w:rFonts w:ascii="宋体" w:hAnsi="宋体" w:cs="Arial"/>
          <w:sz w:val="24"/>
        </w:rPr>
      </w:pPr>
      <w:r>
        <w:rPr>
          <w:rFonts w:ascii="宋体" w:hAnsi="宋体" w:cs="Arial"/>
          <w:sz w:val="24"/>
        </w:rPr>
        <w:t>1.9</w:t>
      </w:r>
      <w:r>
        <w:rPr>
          <w:rFonts w:ascii="宋体" w:hAnsi="宋体" w:cs="Arial"/>
          <w:sz w:val="24"/>
          <w:lang w:val="zh-CN"/>
        </w:rPr>
        <w:t>“验收”指合同双方依据强制性的国家技术质量规范和合同约定，确认合同条款下的货物符合合同规定的活动。</w:t>
      </w:r>
    </w:p>
    <w:p w14:paraId="7B95D759">
      <w:pPr>
        <w:autoSpaceDE w:val="0"/>
        <w:autoSpaceDN w:val="0"/>
        <w:spacing w:line="360" w:lineRule="auto"/>
        <w:rPr>
          <w:rFonts w:ascii="宋体" w:hAnsi="宋体" w:cs="Arial"/>
          <w:sz w:val="24"/>
        </w:rPr>
      </w:pPr>
      <w:r>
        <w:rPr>
          <w:rFonts w:ascii="宋体" w:hAnsi="宋体" w:cs="Arial"/>
          <w:sz w:val="24"/>
        </w:rPr>
        <w:t>1.10</w:t>
      </w:r>
      <w:r>
        <w:rPr>
          <w:rFonts w:ascii="宋体" w:hAnsi="宋体" w:cs="Arial"/>
          <w:sz w:val="24"/>
          <w:lang w:val="zh-CN"/>
        </w:rPr>
        <w:t>原厂商：产品制造商或其在中国境内设立的办事或技术服务机构。除另有说明外，本合同文件所述的制造商、产品制造商、制造厂家、产品制造厂家均为原厂商。</w:t>
      </w:r>
    </w:p>
    <w:p w14:paraId="45FE6EDC">
      <w:pPr>
        <w:autoSpaceDE w:val="0"/>
        <w:autoSpaceDN w:val="0"/>
        <w:spacing w:line="360" w:lineRule="auto"/>
        <w:rPr>
          <w:rFonts w:ascii="宋体" w:hAnsi="宋体" w:cs="Arial"/>
          <w:sz w:val="24"/>
        </w:rPr>
      </w:pPr>
      <w:r>
        <w:rPr>
          <w:rFonts w:ascii="宋体" w:hAnsi="宋体" w:cs="Arial"/>
          <w:sz w:val="24"/>
        </w:rPr>
        <w:t>1.11</w:t>
      </w:r>
      <w:r>
        <w:rPr>
          <w:rFonts w:ascii="宋体" w:hAnsi="宋体" w:cs="Arial"/>
          <w:sz w:val="24"/>
          <w:lang w:val="zh-CN"/>
        </w:rPr>
        <w:t>原产地：指产品的生产地，或提供服务的来源地。</w:t>
      </w:r>
    </w:p>
    <w:p w14:paraId="0484C07E">
      <w:pPr>
        <w:autoSpaceDE w:val="0"/>
        <w:autoSpaceDN w:val="0"/>
        <w:spacing w:line="360" w:lineRule="auto"/>
        <w:rPr>
          <w:rFonts w:ascii="宋体" w:hAnsi="宋体" w:cs="Arial"/>
          <w:sz w:val="24"/>
        </w:rPr>
      </w:pPr>
      <w:r>
        <w:rPr>
          <w:rFonts w:ascii="宋体" w:hAnsi="宋体" w:cs="Arial"/>
          <w:sz w:val="24"/>
        </w:rPr>
        <w:t>1.12</w:t>
      </w:r>
      <w:r>
        <w:rPr>
          <w:rFonts w:ascii="宋体" w:hAnsi="宋体" w:cs="Arial"/>
          <w:sz w:val="24"/>
          <w:lang w:val="zh-CN"/>
        </w:rPr>
        <w:t>“工作日”指国家法定工作日，“天”指日历天数。</w:t>
      </w:r>
    </w:p>
    <w:p w14:paraId="158112F8">
      <w:pPr>
        <w:autoSpaceDE w:val="0"/>
        <w:autoSpaceDN w:val="0"/>
        <w:spacing w:line="360" w:lineRule="auto"/>
        <w:outlineLvl w:val="2"/>
        <w:rPr>
          <w:rFonts w:ascii="宋体" w:hAnsi="宋体" w:cs="Arial"/>
          <w:b/>
          <w:bCs/>
          <w:sz w:val="24"/>
        </w:rPr>
      </w:pPr>
      <w:bookmarkStart w:id="336" w:name="_Toc11684"/>
      <w:r>
        <w:rPr>
          <w:rFonts w:ascii="宋体" w:hAnsi="宋体" w:cs="Arial"/>
          <w:b/>
          <w:bCs/>
          <w:sz w:val="24"/>
        </w:rPr>
        <w:t>2.</w:t>
      </w:r>
      <w:r>
        <w:rPr>
          <w:rFonts w:ascii="宋体" w:hAnsi="宋体" w:cs="Arial"/>
          <w:b/>
          <w:bCs/>
          <w:sz w:val="24"/>
          <w:lang w:val="zh-CN"/>
        </w:rPr>
        <w:t>技术规格要求</w:t>
      </w:r>
      <w:bookmarkEnd w:id="336"/>
    </w:p>
    <w:p w14:paraId="6D77710C">
      <w:pPr>
        <w:autoSpaceDE w:val="0"/>
        <w:autoSpaceDN w:val="0"/>
        <w:spacing w:line="360" w:lineRule="auto"/>
        <w:rPr>
          <w:rFonts w:ascii="宋体" w:hAnsi="宋体" w:cs="Arial"/>
          <w:sz w:val="24"/>
        </w:rPr>
      </w:pPr>
      <w:r>
        <w:rPr>
          <w:rFonts w:ascii="宋体" w:hAnsi="宋体" w:cs="Arial"/>
          <w:sz w:val="24"/>
        </w:rPr>
        <w:t>2.1</w:t>
      </w:r>
      <w:r>
        <w:rPr>
          <w:rFonts w:ascii="宋体" w:hAnsi="宋体" w:cs="Arial"/>
          <w:sz w:val="24"/>
          <w:lang w:val="zh-CN"/>
        </w:rPr>
        <w:t>本合同条款下提交货物的技术规格要求应等于或优于</w:t>
      </w:r>
      <w:r>
        <w:rPr>
          <w:rFonts w:hint="eastAsia" w:ascii="宋体" w:hAnsi="宋体" w:cs="Arial"/>
          <w:sz w:val="24"/>
          <w:lang w:val="zh-CN"/>
        </w:rPr>
        <w:t>招标</w:t>
      </w:r>
      <w:r>
        <w:rPr>
          <w:rFonts w:ascii="宋体" w:hAnsi="宋体" w:cs="Arial"/>
          <w:sz w:val="24"/>
          <w:lang w:val="zh-CN"/>
        </w:rPr>
        <w:t>文件</w:t>
      </w:r>
      <w:r>
        <w:rPr>
          <w:rFonts w:hint="eastAsia" w:ascii="宋体" w:hAnsi="宋体" w:cs="Arial"/>
          <w:sz w:val="24"/>
          <w:lang w:val="zh-CN"/>
        </w:rPr>
        <w:t>/招标响应文件</w:t>
      </w:r>
      <w:r>
        <w:rPr>
          <w:rFonts w:ascii="宋体" w:hAnsi="宋体" w:cs="Arial"/>
          <w:sz w:val="24"/>
          <w:lang w:val="zh-CN"/>
        </w:rPr>
        <w:t>技术规格要求。若技术规格要求中无相应规定，则应符合相应的国家有关部门最新颁布的相应正式标准。</w:t>
      </w:r>
    </w:p>
    <w:p w14:paraId="2020DA59">
      <w:pPr>
        <w:autoSpaceDE w:val="0"/>
        <w:autoSpaceDN w:val="0"/>
        <w:spacing w:line="360" w:lineRule="auto"/>
        <w:rPr>
          <w:rFonts w:ascii="宋体" w:hAnsi="宋体" w:cs="Arial"/>
          <w:sz w:val="24"/>
        </w:rPr>
      </w:pPr>
      <w:r>
        <w:rPr>
          <w:rFonts w:ascii="宋体" w:hAnsi="宋体" w:cs="Arial"/>
          <w:sz w:val="24"/>
        </w:rPr>
        <w:t>2.2</w:t>
      </w:r>
      <w:r>
        <w:rPr>
          <w:rFonts w:ascii="宋体" w:hAnsi="宋体" w:cs="Arial"/>
          <w:sz w:val="24"/>
          <w:lang w:val="zh-CN"/>
        </w:rPr>
        <w:t>乙方应向甲方提供货物及服务有关的标准的中文文本。</w:t>
      </w:r>
    </w:p>
    <w:p w14:paraId="15E21ED0">
      <w:pPr>
        <w:autoSpaceDE w:val="0"/>
        <w:autoSpaceDN w:val="0"/>
        <w:spacing w:line="360" w:lineRule="auto"/>
        <w:rPr>
          <w:rFonts w:ascii="宋体" w:hAnsi="宋体" w:cs="Arial"/>
          <w:sz w:val="24"/>
        </w:rPr>
      </w:pPr>
      <w:r>
        <w:rPr>
          <w:rFonts w:ascii="宋体" w:hAnsi="宋体" w:cs="Arial"/>
          <w:sz w:val="24"/>
        </w:rPr>
        <w:t>2.3</w:t>
      </w:r>
      <w:r>
        <w:rPr>
          <w:rFonts w:ascii="宋体" w:hAnsi="宋体" w:cs="Arial"/>
          <w:sz w:val="24"/>
          <w:lang w:val="zh-CN"/>
        </w:rPr>
        <w:t>除非技术规范中另有规定，计量单位均采用中华人民共和国法定计量单位。</w:t>
      </w:r>
    </w:p>
    <w:p w14:paraId="3089CCCD">
      <w:pPr>
        <w:autoSpaceDE w:val="0"/>
        <w:autoSpaceDN w:val="0"/>
        <w:spacing w:line="360" w:lineRule="auto"/>
        <w:outlineLvl w:val="2"/>
        <w:rPr>
          <w:rFonts w:ascii="宋体" w:hAnsi="宋体" w:cs="Arial"/>
          <w:b/>
          <w:bCs/>
          <w:sz w:val="24"/>
        </w:rPr>
      </w:pPr>
      <w:bookmarkStart w:id="337" w:name="_Toc23639"/>
      <w:r>
        <w:rPr>
          <w:rFonts w:ascii="宋体" w:hAnsi="宋体" w:cs="Arial"/>
          <w:b/>
          <w:bCs/>
          <w:sz w:val="24"/>
        </w:rPr>
        <w:t>3.</w:t>
      </w:r>
      <w:r>
        <w:rPr>
          <w:rFonts w:ascii="宋体" w:hAnsi="宋体" w:cs="Arial"/>
          <w:b/>
          <w:bCs/>
          <w:sz w:val="24"/>
          <w:lang w:val="zh-CN"/>
        </w:rPr>
        <w:t>合同范围</w:t>
      </w:r>
      <w:bookmarkEnd w:id="337"/>
    </w:p>
    <w:p w14:paraId="247168C5">
      <w:pPr>
        <w:autoSpaceDE w:val="0"/>
        <w:autoSpaceDN w:val="0"/>
        <w:spacing w:line="360" w:lineRule="auto"/>
        <w:rPr>
          <w:rFonts w:ascii="宋体" w:hAnsi="宋体" w:cs="Arial"/>
          <w:sz w:val="24"/>
        </w:rPr>
      </w:pPr>
      <w:r>
        <w:rPr>
          <w:rFonts w:ascii="宋体" w:hAnsi="宋体" w:cs="Arial"/>
          <w:sz w:val="24"/>
        </w:rPr>
        <w:t>3.1</w:t>
      </w:r>
      <w:r>
        <w:rPr>
          <w:rFonts w:ascii="宋体" w:hAnsi="宋体" w:cs="Arial"/>
          <w:sz w:val="24"/>
          <w:lang w:val="zh-CN"/>
        </w:rPr>
        <w:t>甲方同意从乙方处购买且乙方同意向甲方提供的货物及其附属货物，消耗性材料、专用工具等，包括各项技术服务、技术培训及满足合同货物组装、检验、培训、技术服务、安装调试指导、性能测试、正常运行及维修所必需的技术文件。</w:t>
      </w:r>
    </w:p>
    <w:p w14:paraId="47ECF997">
      <w:pPr>
        <w:autoSpaceDE w:val="0"/>
        <w:autoSpaceDN w:val="0"/>
        <w:spacing w:line="360" w:lineRule="auto"/>
        <w:rPr>
          <w:rFonts w:ascii="宋体" w:hAnsi="宋体" w:cs="Arial"/>
          <w:sz w:val="24"/>
        </w:rPr>
      </w:pPr>
      <w:r>
        <w:rPr>
          <w:rFonts w:ascii="宋体" w:hAnsi="宋体" w:cs="Arial"/>
          <w:sz w:val="24"/>
        </w:rPr>
        <w:t>3.2</w:t>
      </w:r>
      <w:r>
        <w:rPr>
          <w:rFonts w:ascii="宋体" w:hAnsi="宋体" w:cs="Arial"/>
          <w:sz w:val="24"/>
          <w:lang w:val="zh-CN"/>
        </w:rPr>
        <w:t>乙方应负责培训甲方的技术人员。</w:t>
      </w:r>
    </w:p>
    <w:p w14:paraId="0929E95C">
      <w:pPr>
        <w:autoSpaceDE w:val="0"/>
        <w:autoSpaceDN w:val="0"/>
        <w:spacing w:line="360" w:lineRule="auto"/>
        <w:rPr>
          <w:rFonts w:ascii="宋体" w:hAnsi="宋体" w:cs="Arial"/>
          <w:sz w:val="24"/>
        </w:rPr>
      </w:pPr>
      <w:r>
        <w:rPr>
          <w:rFonts w:ascii="宋体" w:hAnsi="宋体" w:cs="Arial"/>
          <w:sz w:val="24"/>
        </w:rPr>
        <w:t>3.3</w:t>
      </w:r>
      <w:r>
        <w:rPr>
          <w:rFonts w:ascii="宋体" w:hAnsi="宋体" w:cs="Arial"/>
          <w:sz w:val="24"/>
          <w:lang w:val="zh-CN"/>
        </w:rPr>
        <w:t>按照甲方的要求，乙方应在合同规定的质量保证期和免费保修期内，免费负责修理或更换有缺陷的零部件或整机，对软件产品进行免费升级，同时在合同规定的质量保证期和免费保修期满后，以最优惠的价格，向买方提供合同货物大修和维护所需的配件及服务。</w:t>
      </w:r>
    </w:p>
    <w:p w14:paraId="04D1F97F">
      <w:pPr>
        <w:autoSpaceDE w:val="0"/>
        <w:autoSpaceDN w:val="0"/>
        <w:spacing w:line="360" w:lineRule="auto"/>
        <w:outlineLvl w:val="2"/>
        <w:rPr>
          <w:rFonts w:ascii="宋体" w:hAnsi="宋体" w:cs="Arial"/>
          <w:b/>
          <w:bCs/>
          <w:sz w:val="24"/>
        </w:rPr>
      </w:pPr>
      <w:bookmarkStart w:id="338" w:name="_Toc5002"/>
      <w:r>
        <w:rPr>
          <w:rFonts w:ascii="宋体" w:hAnsi="宋体" w:cs="Arial"/>
          <w:b/>
          <w:bCs/>
          <w:sz w:val="24"/>
        </w:rPr>
        <w:t>4.</w:t>
      </w:r>
      <w:r>
        <w:rPr>
          <w:rFonts w:ascii="宋体" w:hAnsi="宋体" w:cs="Arial"/>
          <w:b/>
          <w:bCs/>
          <w:sz w:val="24"/>
          <w:lang w:val="zh-CN"/>
        </w:rPr>
        <w:t>合同文件和资料</w:t>
      </w:r>
      <w:bookmarkEnd w:id="338"/>
    </w:p>
    <w:p w14:paraId="10F0EDE4">
      <w:pPr>
        <w:autoSpaceDE w:val="0"/>
        <w:autoSpaceDN w:val="0"/>
        <w:spacing w:line="360" w:lineRule="auto"/>
        <w:rPr>
          <w:rFonts w:ascii="宋体" w:hAnsi="宋体" w:cs="Arial"/>
          <w:sz w:val="24"/>
        </w:rPr>
      </w:pPr>
      <w:r>
        <w:rPr>
          <w:rFonts w:ascii="宋体" w:hAnsi="宋体" w:cs="Arial"/>
          <w:sz w:val="24"/>
        </w:rPr>
        <w:t>4.1</w:t>
      </w:r>
      <w:r>
        <w:rPr>
          <w:rFonts w:ascii="宋体" w:hAnsi="宋体" w:cs="Arial"/>
          <w:sz w:val="24"/>
          <w:lang w:val="zh-CN"/>
        </w:rPr>
        <w:t>乙方在提供仪器设备时应同时提供中文版相关的技术资料，如目录索引、图纸、操作手册、使用指南、维修指南、服务手册等。</w:t>
      </w:r>
    </w:p>
    <w:p w14:paraId="06499CBD">
      <w:pPr>
        <w:autoSpaceDE w:val="0"/>
        <w:autoSpaceDN w:val="0"/>
        <w:spacing w:line="360" w:lineRule="auto"/>
        <w:rPr>
          <w:rFonts w:ascii="宋体" w:hAnsi="宋体" w:cs="Arial"/>
          <w:sz w:val="24"/>
        </w:rPr>
      </w:pPr>
      <w:r>
        <w:rPr>
          <w:rFonts w:ascii="宋体" w:hAnsi="宋体" w:cs="Arial"/>
          <w:sz w:val="24"/>
        </w:rPr>
        <w:t>4.2</w:t>
      </w:r>
      <w:r>
        <w:rPr>
          <w:rFonts w:ascii="宋体" w:hAnsi="宋体" w:cs="Arial"/>
          <w:sz w:val="24"/>
          <w:lang w:val="zh-CN"/>
        </w:rPr>
        <w:t>未经甲方事先的书面同意，乙方不得将由甲方或代表甲方提供的有关合同或任何合同条文、规格、计划或资料提供给与履行本合同无关的任何其他人，如向与履行本合同有关的人员提供，则应严格保密并限于履行本合同所必须的范围。</w:t>
      </w:r>
    </w:p>
    <w:p w14:paraId="3B1DCC33">
      <w:pPr>
        <w:autoSpaceDE w:val="0"/>
        <w:autoSpaceDN w:val="0"/>
        <w:spacing w:line="360" w:lineRule="auto"/>
        <w:outlineLvl w:val="2"/>
        <w:rPr>
          <w:rFonts w:ascii="宋体" w:hAnsi="宋体" w:cs="Arial"/>
          <w:b/>
          <w:bCs/>
          <w:sz w:val="24"/>
        </w:rPr>
      </w:pPr>
      <w:bookmarkStart w:id="339" w:name="_Toc26875"/>
      <w:r>
        <w:rPr>
          <w:rFonts w:ascii="宋体" w:hAnsi="宋体" w:cs="Arial"/>
          <w:b/>
          <w:bCs/>
          <w:sz w:val="24"/>
        </w:rPr>
        <w:t>5.</w:t>
      </w:r>
      <w:r>
        <w:rPr>
          <w:rFonts w:ascii="宋体" w:hAnsi="宋体" w:cs="Arial"/>
          <w:b/>
          <w:bCs/>
          <w:sz w:val="24"/>
          <w:lang w:val="zh-CN"/>
        </w:rPr>
        <w:t>知识产权</w:t>
      </w:r>
      <w:bookmarkEnd w:id="339"/>
    </w:p>
    <w:p w14:paraId="416117FD">
      <w:pPr>
        <w:autoSpaceDE w:val="0"/>
        <w:autoSpaceDN w:val="0"/>
        <w:spacing w:line="360" w:lineRule="auto"/>
        <w:rPr>
          <w:rFonts w:ascii="宋体" w:hAnsi="宋体" w:cs="Arial"/>
          <w:sz w:val="24"/>
        </w:rPr>
      </w:pPr>
      <w:r>
        <w:rPr>
          <w:rFonts w:ascii="宋体" w:hAnsi="宋体" w:cs="Arial"/>
          <w:sz w:val="24"/>
        </w:rPr>
        <w:t>5.1</w:t>
      </w:r>
      <w:r>
        <w:rPr>
          <w:rFonts w:ascii="宋体" w:hAnsi="宋体" w:cs="Arial"/>
          <w:sz w:val="24"/>
          <w:lang w:val="zh-CN"/>
        </w:rPr>
        <w:t>乙方应保证甲方在使用该货物或其任何一部分时不受第三方提出的侵犯专利权、著作权、商标权和工业设计权等的起诉。</w:t>
      </w:r>
    </w:p>
    <w:p w14:paraId="261E3EBD">
      <w:pPr>
        <w:autoSpaceDE w:val="0"/>
        <w:autoSpaceDN w:val="0"/>
        <w:spacing w:line="360" w:lineRule="auto"/>
        <w:rPr>
          <w:rFonts w:ascii="宋体" w:hAnsi="宋体" w:cs="Arial"/>
          <w:sz w:val="24"/>
        </w:rPr>
      </w:pPr>
      <w:r>
        <w:rPr>
          <w:rFonts w:ascii="宋体" w:hAnsi="宋体" w:cs="Arial"/>
          <w:sz w:val="24"/>
        </w:rPr>
        <w:t>5.2</w:t>
      </w:r>
      <w:r>
        <w:rPr>
          <w:rFonts w:ascii="宋体" w:hAnsi="宋体" w:cs="Arial"/>
          <w:sz w:val="24"/>
          <w:lang w:val="zh-CN"/>
        </w:rPr>
        <w:t>任何第三方提出侵权指控，乙方须与第三方交涉并承担由此产生的一切责任、费用和经济赔偿。</w:t>
      </w:r>
    </w:p>
    <w:p w14:paraId="246DDCBC">
      <w:pPr>
        <w:autoSpaceDE w:val="0"/>
        <w:autoSpaceDN w:val="0"/>
        <w:spacing w:line="360" w:lineRule="auto"/>
        <w:rPr>
          <w:rFonts w:ascii="宋体" w:hAnsi="宋体" w:cs="Arial"/>
          <w:sz w:val="24"/>
        </w:rPr>
      </w:pPr>
      <w:r>
        <w:rPr>
          <w:rFonts w:ascii="宋体" w:hAnsi="宋体" w:cs="Arial"/>
          <w:sz w:val="24"/>
        </w:rPr>
        <w:t>5.3</w:t>
      </w:r>
      <w:r>
        <w:rPr>
          <w:rFonts w:ascii="宋体" w:hAnsi="宋体" w:cs="Arial"/>
          <w:sz w:val="24"/>
          <w:lang w:val="zh-CN"/>
        </w:rPr>
        <w:t>双方应共同遵守国家有关版权、专利、商标等知识产权方面的法律规定，相互尊重对方的知识产权，对本合同内容、对方的技术秘密和商业秘密负有保密责任。如有违反，违约方负相关法律责任。</w:t>
      </w:r>
    </w:p>
    <w:p w14:paraId="2D7BEF00">
      <w:pPr>
        <w:autoSpaceDE w:val="0"/>
        <w:autoSpaceDN w:val="0"/>
        <w:spacing w:line="360" w:lineRule="auto"/>
        <w:rPr>
          <w:rFonts w:ascii="宋体" w:hAnsi="宋体" w:cs="Arial"/>
          <w:sz w:val="24"/>
        </w:rPr>
      </w:pPr>
      <w:r>
        <w:rPr>
          <w:rFonts w:ascii="宋体" w:hAnsi="宋体" w:cs="Arial"/>
          <w:sz w:val="24"/>
        </w:rPr>
        <w:t>5.4</w:t>
      </w:r>
      <w:r>
        <w:rPr>
          <w:rFonts w:ascii="宋体" w:hAnsi="宋体" w:cs="Arial"/>
          <w:sz w:val="24"/>
          <w:lang w:val="zh-CN"/>
        </w:rPr>
        <w:t>在本合同生效时已经存在并为各方合法拥有或使用的所有技术、资料和信息的知识产权，仍应属于其各自的原权利人所有或享有，另有约定的除外。</w:t>
      </w:r>
    </w:p>
    <w:p w14:paraId="3B5E3CD3">
      <w:pPr>
        <w:autoSpaceDE w:val="0"/>
        <w:autoSpaceDN w:val="0"/>
        <w:spacing w:line="360" w:lineRule="auto"/>
        <w:rPr>
          <w:rFonts w:ascii="宋体" w:hAnsi="宋体" w:cs="Arial"/>
          <w:sz w:val="24"/>
        </w:rPr>
      </w:pPr>
      <w:r>
        <w:rPr>
          <w:rFonts w:ascii="宋体" w:hAnsi="宋体" w:cs="Arial"/>
          <w:sz w:val="24"/>
        </w:rPr>
        <w:t>5.5</w:t>
      </w:r>
      <w:r>
        <w:rPr>
          <w:rFonts w:ascii="宋体" w:hAnsi="宋体" w:cs="Arial"/>
          <w:sz w:val="24"/>
          <w:lang w:val="zh-CN"/>
        </w:rPr>
        <w:t>乙方保证拥有由其提供给甲方的所有软件的合法使用权，并且已获得进行许可的正当授权及其有权将软件许可及其相关材料授权或转让给甲方。甲方可独立对本合同条款下软件产品进行后续开发，不受版权限制。乙方承诺并保证甲方除本协议的付款义务外无需支付任何其它的许可使用费，以非独家的、永久的、全球的、不可撤销的方式使用本合同条款下软件产品。</w:t>
      </w:r>
    </w:p>
    <w:p w14:paraId="4A4A7298">
      <w:pPr>
        <w:autoSpaceDE w:val="0"/>
        <w:autoSpaceDN w:val="0"/>
        <w:spacing w:line="360" w:lineRule="auto"/>
        <w:outlineLvl w:val="2"/>
        <w:rPr>
          <w:rFonts w:ascii="宋体" w:hAnsi="宋体" w:cs="Arial"/>
          <w:b/>
          <w:bCs/>
          <w:sz w:val="24"/>
        </w:rPr>
      </w:pPr>
      <w:bookmarkStart w:id="340" w:name="_Toc26809"/>
      <w:r>
        <w:rPr>
          <w:rFonts w:ascii="宋体" w:hAnsi="宋体" w:cs="Arial"/>
          <w:b/>
          <w:bCs/>
          <w:sz w:val="24"/>
        </w:rPr>
        <w:t>6.</w:t>
      </w:r>
      <w:r>
        <w:rPr>
          <w:rFonts w:ascii="宋体" w:hAnsi="宋体" w:cs="Arial"/>
          <w:b/>
          <w:bCs/>
          <w:sz w:val="24"/>
          <w:lang w:val="zh-CN"/>
        </w:rPr>
        <w:t>保密</w:t>
      </w:r>
      <w:bookmarkEnd w:id="340"/>
    </w:p>
    <w:p w14:paraId="3E651D88">
      <w:pPr>
        <w:autoSpaceDE w:val="0"/>
        <w:autoSpaceDN w:val="0"/>
        <w:spacing w:line="360" w:lineRule="auto"/>
        <w:rPr>
          <w:rFonts w:ascii="宋体" w:hAnsi="宋体" w:cs="Arial"/>
          <w:sz w:val="24"/>
        </w:rPr>
      </w:pPr>
      <w:r>
        <w:rPr>
          <w:rFonts w:ascii="宋体" w:hAnsi="宋体" w:cs="Arial"/>
          <w:sz w:val="24"/>
        </w:rPr>
        <w:t>6.1</w:t>
      </w:r>
      <w:r>
        <w:rPr>
          <w:rFonts w:ascii="宋体" w:hAnsi="宋体" w:cs="Arial"/>
          <w:sz w:val="24"/>
          <w:lang w:val="zh-CN"/>
        </w:rPr>
        <w:t>在本合同履行期间及履行完毕后的任何时候，任何一方均应对因履行本合同从对方获取或知悉的保密信息承担保密责任，未经对方书面同意不得向第三方透露，否则应赔偿由此给对方造成的全部损失。</w:t>
      </w:r>
    </w:p>
    <w:p w14:paraId="59FA3262">
      <w:pPr>
        <w:autoSpaceDE w:val="0"/>
        <w:autoSpaceDN w:val="0"/>
        <w:spacing w:line="360" w:lineRule="auto"/>
        <w:rPr>
          <w:rFonts w:ascii="宋体" w:hAnsi="宋体" w:cs="Arial"/>
          <w:sz w:val="24"/>
        </w:rPr>
      </w:pPr>
      <w:r>
        <w:rPr>
          <w:rFonts w:ascii="宋体" w:hAnsi="宋体" w:cs="Arial"/>
          <w:sz w:val="24"/>
        </w:rPr>
        <w:t>6.2</w:t>
      </w:r>
      <w:r>
        <w:rPr>
          <w:rFonts w:ascii="宋体" w:hAnsi="宋体" w:cs="Arial"/>
          <w:sz w:val="24"/>
          <w:lang w:val="zh-CN"/>
        </w:rPr>
        <w:t>保密信息指任何一方因履行本合同所知悉的任何以口头、书面、图表或电子形式存在的对方信息，具体包括：</w:t>
      </w:r>
    </w:p>
    <w:p w14:paraId="73D0399B">
      <w:pPr>
        <w:autoSpaceDE w:val="0"/>
        <w:autoSpaceDN w:val="0"/>
        <w:spacing w:line="360" w:lineRule="auto"/>
        <w:rPr>
          <w:rFonts w:ascii="宋体" w:hAnsi="宋体" w:cs="Arial"/>
          <w:sz w:val="24"/>
        </w:rPr>
      </w:pPr>
      <w:r>
        <w:rPr>
          <w:rFonts w:ascii="宋体" w:hAnsi="宋体" w:cs="Arial"/>
          <w:sz w:val="24"/>
        </w:rPr>
        <w:t>6.2.1</w:t>
      </w:r>
      <w:r>
        <w:rPr>
          <w:rFonts w:ascii="宋体" w:hAnsi="宋体" w:cs="Arial"/>
          <w:sz w:val="24"/>
          <w:lang w:val="zh-CN"/>
        </w:rPr>
        <w:t>任何涉及对方过去、现在或将来的商业计划、规章制度、操作规程、处理手段、财务信息；</w:t>
      </w:r>
    </w:p>
    <w:p w14:paraId="446F108A">
      <w:pPr>
        <w:autoSpaceDE w:val="0"/>
        <w:autoSpaceDN w:val="0"/>
        <w:spacing w:line="360" w:lineRule="auto"/>
        <w:rPr>
          <w:rFonts w:ascii="宋体" w:hAnsi="宋体" w:cs="Arial"/>
          <w:sz w:val="24"/>
        </w:rPr>
      </w:pPr>
      <w:r>
        <w:rPr>
          <w:rFonts w:ascii="宋体" w:hAnsi="宋体" w:cs="Arial"/>
          <w:sz w:val="24"/>
        </w:rPr>
        <w:t>6.2.2</w:t>
      </w:r>
      <w:r>
        <w:rPr>
          <w:rFonts w:ascii="宋体" w:hAnsi="宋体" w:cs="Arial"/>
          <w:sz w:val="24"/>
          <w:lang w:val="zh-CN"/>
        </w:rPr>
        <w:t>任何对方的技术措施、技术方案、软件应用及开发，硬件设备的品种、质量、数量、品牌等；</w:t>
      </w:r>
    </w:p>
    <w:p w14:paraId="05B41C36">
      <w:pPr>
        <w:autoSpaceDE w:val="0"/>
        <w:autoSpaceDN w:val="0"/>
        <w:spacing w:line="360" w:lineRule="auto"/>
        <w:rPr>
          <w:rFonts w:ascii="宋体" w:hAnsi="宋体" w:cs="Arial"/>
          <w:sz w:val="24"/>
        </w:rPr>
      </w:pPr>
      <w:r>
        <w:rPr>
          <w:rFonts w:ascii="宋体" w:hAnsi="宋体" w:cs="Arial"/>
          <w:sz w:val="24"/>
        </w:rPr>
        <w:t>6.2.3</w:t>
      </w:r>
      <w:r>
        <w:rPr>
          <w:rFonts w:ascii="宋体" w:hAnsi="宋体" w:cs="Arial"/>
          <w:sz w:val="24"/>
          <w:lang w:val="zh-CN"/>
        </w:rPr>
        <w:t>任何对方的技术秘密或专有知识、文件、报告、数据、客户软件、流程图、数据库、发明、知识、贸易秘密。</w:t>
      </w:r>
    </w:p>
    <w:p w14:paraId="49A8A890">
      <w:pPr>
        <w:autoSpaceDE w:val="0"/>
        <w:autoSpaceDN w:val="0"/>
        <w:spacing w:line="360" w:lineRule="auto"/>
        <w:rPr>
          <w:rFonts w:ascii="宋体" w:hAnsi="宋体" w:cs="Arial"/>
          <w:sz w:val="24"/>
        </w:rPr>
      </w:pPr>
      <w:r>
        <w:rPr>
          <w:rFonts w:ascii="宋体" w:hAnsi="宋体" w:cs="Arial"/>
          <w:sz w:val="24"/>
        </w:rPr>
        <w:t>6.3</w:t>
      </w:r>
      <w:r>
        <w:rPr>
          <w:rFonts w:ascii="宋体" w:hAnsi="宋体" w:cs="Arial"/>
          <w:sz w:val="24"/>
          <w:lang w:val="zh-CN"/>
        </w:rPr>
        <w:t>乙方应根据甲方的要求签署相应的保密协议，保密协议与本条款存在不一致的，以保密协议为准。</w:t>
      </w:r>
    </w:p>
    <w:p w14:paraId="37AE0405">
      <w:pPr>
        <w:autoSpaceDE w:val="0"/>
        <w:autoSpaceDN w:val="0"/>
        <w:spacing w:line="360" w:lineRule="auto"/>
        <w:outlineLvl w:val="2"/>
        <w:rPr>
          <w:rFonts w:ascii="宋体" w:hAnsi="宋体" w:cs="Arial"/>
          <w:b/>
          <w:bCs/>
          <w:sz w:val="24"/>
        </w:rPr>
      </w:pPr>
      <w:bookmarkStart w:id="341" w:name="_Toc21949"/>
      <w:r>
        <w:rPr>
          <w:rFonts w:ascii="宋体" w:hAnsi="宋体" w:cs="Arial"/>
          <w:b/>
          <w:bCs/>
          <w:sz w:val="24"/>
        </w:rPr>
        <w:t xml:space="preserve">7. </w:t>
      </w:r>
      <w:r>
        <w:rPr>
          <w:rFonts w:ascii="宋体" w:hAnsi="宋体" w:cs="Arial"/>
          <w:b/>
          <w:bCs/>
          <w:sz w:val="24"/>
          <w:lang w:val="zh-CN"/>
        </w:rPr>
        <w:t>质量保证</w:t>
      </w:r>
      <w:bookmarkEnd w:id="341"/>
    </w:p>
    <w:p w14:paraId="1B3960CC">
      <w:pPr>
        <w:autoSpaceDE w:val="0"/>
        <w:autoSpaceDN w:val="0"/>
        <w:spacing w:line="360" w:lineRule="auto"/>
        <w:rPr>
          <w:rFonts w:ascii="宋体" w:hAnsi="宋体" w:cs="Arial"/>
          <w:sz w:val="24"/>
        </w:rPr>
      </w:pPr>
      <w:r>
        <w:rPr>
          <w:rFonts w:ascii="宋体" w:hAnsi="宋体" w:cs="Arial"/>
          <w:sz w:val="24"/>
        </w:rPr>
        <w:t>7.1</w:t>
      </w:r>
      <w:r>
        <w:rPr>
          <w:rFonts w:ascii="宋体" w:hAnsi="宋体" w:cs="Arial"/>
          <w:sz w:val="24"/>
          <w:lang w:val="zh-CN"/>
        </w:rPr>
        <w:t>货物质量保证</w:t>
      </w:r>
    </w:p>
    <w:p w14:paraId="536E32C3">
      <w:pPr>
        <w:autoSpaceDE w:val="0"/>
        <w:autoSpaceDN w:val="0"/>
        <w:spacing w:line="360" w:lineRule="auto"/>
        <w:rPr>
          <w:rFonts w:ascii="宋体" w:hAnsi="宋体" w:cs="Arial"/>
          <w:sz w:val="24"/>
        </w:rPr>
      </w:pPr>
      <w:r>
        <w:rPr>
          <w:rFonts w:ascii="宋体" w:hAnsi="宋体" w:cs="Arial"/>
          <w:sz w:val="24"/>
        </w:rPr>
        <w:t>7.1.1</w:t>
      </w:r>
      <w:r>
        <w:rPr>
          <w:rFonts w:ascii="宋体" w:hAnsi="宋体" w:cs="Arial"/>
          <w:sz w:val="24"/>
          <w:lang w:val="zh-CN"/>
        </w:rPr>
        <w:t>乙方必须保证货物是全新、未使用过的，并完全符合强制性的国家技术质量规范和合同规定的质量、规格、性能和技术规范等的要求。</w:t>
      </w:r>
    </w:p>
    <w:p w14:paraId="03D2C07C">
      <w:pPr>
        <w:autoSpaceDE w:val="0"/>
        <w:autoSpaceDN w:val="0"/>
        <w:spacing w:line="360" w:lineRule="auto"/>
        <w:rPr>
          <w:rFonts w:ascii="宋体" w:hAnsi="宋体" w:cs="Arial"/>
          <w:sz w:val="24"/>
        </w:rPr>
      </w:pPr>
      <w:r>
        <w:rPr>
          <w:rFonts w:ascii="宋体" w:hAnsi="宋体" w:cs="Arial"/>
          <w:sz w:val="24"/>
        </w:rPr>
        <w:t>7.1.2</w:t>
      </w:r>
      <w:r>
        <w:rPr>
          <w:rFonts w:ascii="宋体" w:hAnsi="宋体" w:cs="Arial"/>
          <w:sz w:val="24"/>
          <w:lang w:val="zh-CN"/>
        </w:rPr>
        <w:t>乙方须保证所提供的货物经正确安装、正常运转和保养，在其使用寿命期内须具有符合质量要求和产品说明书的性能。在货物质量保证期之内，乙方须对由于设计、工艺或材料的缺陷而发生的任何不足或故障负责，并免费予以改进或更换。</w:t>
      </w:r>
    </w:p>
    <w:p w14:paraId="04EC8C5B">
      <w:pPr>
        <w:autoSpaceDE w:val="0"/>
        <w:autoSpaceDN w:val="0"/>
        <w:spacing w:line="360" w:lineRule="auto"/>
        <w:rPr>
          <w:rFonts w:ascii="宋体" w:hAnsi="宋体" w:cs="Arial"/>
          <w:sz w:val="24"/>
        </w:rPr>
      </w:pPr>
      <w:r>
        <w:rPr>
          <w:rFonts w:ascii="宋体" w:hAnsi="宋体" w:cs="Arial"/>
          <w:sz w:val="24"/>
        </w:rPr>
        <w:t>7.1.3</w:t>
      </w:r>
      <w:r>
        <w:rPr>
          <w:rFonts w:ascii="宋体" w:hAnsi="宋体" w:cs="Arial"/>
          <w:sz w:val="24"/>
          <w:lang w:val="zh-CN"/>
        </w:rPr>
        <w:t>根据乙方按检验标准自己检验结果或委托有资质的相关质检机构的检验结果，发现货物的数量、质量、规格与合同不符；或者在质量保证期内，证实货物存在缺陷，包括潜在的缺陷或使用不符合要求的材料等，甲方应书面通知乙方。接到上述通知后，乙方应及时免费更换或修理破损货物。乙方在甲方发出质量异议通知后，未作答复，甲方在通知书中所提出的要求应视为已被乙方接受。</w:t>
      </w:r>
    </w:p>
    <w:p w14:paraId="3F698AE0">
      <w:pPr>
        <w:autoSpaceDE w:val="0"/>
        <w:autoSpaceDN w:val="0"/>
        <w:spacing w:line="360" w:lineRule="auto"/>
        <w:rPr>
          <w:rFonts w:ascii="宋体" w:hAnsi="宋体" w:cs="Arial"/>
          <w:sz w:val="24"/>
        </w:rPr>
      </w:pPr>
      <w:r>
        <w:rPr>
          <w:rFonts w:ascii="宋体" w:hAnsi="宋体" w:cs="Arial"/>
          <w:sz w:val="24"/>
        </w:rPr>
        <w:t>7.1.4</w:t>
      </w:r>
      <w:r>
        <w:rPr>
          <w:rFonts w:ascii="宋体" w:hAnsi="宋体" w:cs="Arial"/>
          <w:sz w:val="24"/>
          <w:lang w:val="zh-CN"/>
        </w:rPr>
        <w:t>乙方在收到通知后虽答复，但没有弥补缺陷，甲方可采取必要的补救措施，但由此引发的风险和费用将由乙方承担。甲方可从合同款或乙方提交的保证金中扣款，不足部分，甲方有权要求乙方赔偿。甲方根据合同规定对卖方行使的其他权力不受影响。</w:t>
      </w:r>
    </w:p>
    <w:p w14:paraId="70B392A5">
      <w:pPr>
        <w:autoSpaceDE w:val="0"/>
        <w:autoSpaceDN w:val="0"/>
        <w:spacing w:line="360" w:lineRule="auto"/>
        <w:rPr>
          <w:rFonts w:ascii="宋体" w:hAnsi="宋体" w:cs="Arial"/>
          <w:sz w:val="24"/>
        </w:rPr>
      </w:pPr>
      <w:r>
        <w:rPr>
          <w:rFonts w:ascii="宋体" w:hAnsi="宋体" w:cs="Arial"/>
          <w:sz w:val="24"/>
        </w:rPr>
        <w:t>7.1.5</w:t>
      </w:r>
      <w:r>
        <w:rPr>
          <w:rFonts w:ascii="宋体" w:hAnsi="宋体" w:cs="Arial"/>
          <w:sz w:val="24"/>
          <w:lang w:val="zh-CN"/>
        </w:rPr>
        <w:t>合同条款下货物的质量保证期自货物通过最终验收起算，合同另行规定除外。</w:t>
      </w:r>
    </w:p>
    <w:p w14:paraId="229FDE32">
      <w:pPr>
        <w:autoSpaceDE w:val="0"/>
        <w:autoSpaceDN w:val="0"/>
        <w:spacing w:line="360" w:lineRule="auto"/>
        <w:rPr>
          <w:rFonts w:ascii="宋体" w:hAnsi="宋体" w:cs="Arial"/>
          <w:sz w:val="24"/>
        </w:rPr>
      </w:pPr>
      <w:r>
        <w:rPr>
          <w:rFonts w:ascii="宋体" w:hAnsi="宋体" w:cs="Arial"/>
          <w:sz w:val="24"/>
        </w:rPr>
        <w:t>7.2</w:t>
      </w:r>
      <w:r>
        <w:rPr>
          <w:rFonts w:ascii="宋体" w:hAnsi="宋体" w:cs="Arial"/>
          <w:sz w:val="24"/>
          <w:lang w:val="zh-CN"/>
        </w:rPr>
        <w:t>辅助服务质量保证</w:t>
      </w:r>
    </w:p>
    <w:p w14:paraId="18CE756B">
      <w:pPr>
        <w:autoSpaceDE w:val="0"/>
        <w:autoSpaceDN w:val="0"/>
        <w:spacing w:line="360" w:lineRule="auto"/>
        <w:rPr>
          <w:rFonts w:ascii="宋体" w:hAnsi="宋体" w:cs="Arial"/>
          <w:sz w:val="24"/>
        </w:rPr>
      </w:pPr>
      <w:r>
        <w:rPr>
          <w:rFonts w:ascii="宋体" w:hAnsi="宋体" w:cs="Arial"/>
          <w:sz w:val="24"/>
        </w:rPr>
        <w:t>7.2.1</w:t>
      </w:r>
      <w:r>
        <w:rPr>
          <w:rFonts w:ascii="宋体" w:hAnsi="宋体" w:cs="Arial"/>
          <w:sz w:val="24"/>
          <w:lang w:val="zh-CN"/>
        </w:rPr>
        <w:t>乙方保证免费提供合同条款下的软件产品原厂商至少一年软件全部功能及其换代产品的升级与技术支持服务（包含任何版本升级、产品换代、更新及在原有产品基础上的拆解、完善、合并所产生的新产品，提供升级产品介质及授权，要求原厂商承诺，并加盖原厂商公章），不得出现因货物停售、转产而无法提供上述支持服务。</w:t>
      </w:r>
    </w:p>
    <w:p w14:paraId="3F115B6E">
      <w:pPr>
        <w:autoSpaceDE w:val="0"/>
        <w:autoSpaceDN w:val="0"/>
        <w:spacing w:line="360" w:lineRule="auto"/>
        <w:rPr>
          <w:rFonts w:ascii="宋体" w:hAnsi="宋体" w:cs="Arial"/>
          <w:sz w:val="24"/>
        </w:rPr>
      </w:pPr>
      <w:r>
        <w:rPr>
          <w:rFonts w:ascii="宋体" w:hAnsi="宋体" w:cs="Arial"/>
          <w:sz w:val="24"/>
        </w:rPr>
        <w:t>7.2.2</w:t>
      </w:r>
      <w:r>
        <w:rPr>
          <w:rFonts w:ascii="宋体" w:hAnsi="宋体" w:cs="Arial"/>
          <w:sz w:val="24"/>
          <w:lang w:val="zh-CN"/>
        </w:rPr>
        <w:t>乙方应保证合同条款下所提供的服务包括培训、安装指导、单机调试、系统联调和试验等，按合同规定方式进行，并保证不存在因乙方工作人员的过失、错误或疏忽而产生的缺陷。</w:t>
      </w:r>
    </w:p>
    <w:p w14:paraId="6B5622CB">
      <w:pPr>
        <w:autoSpaceDE w:val="0"/>
        <w:autoSpaceDN w:val="0"/>
        <w:spacing w:line="360" w:lineRule="auto"/>
        <w:outlineLvl w:val="2"/>
        <w:rPr>
          <w:rFonts w:ascii="宋体" w:hAnsi="宋体" w:cs="Arial"/>
          <w:b/>
          <w:bCs/>
          <w:sz w:val="24"/>
        </w:rPr>
      </w:pPr>
      <w:bookmarkStart w:id="342" w:name="_Toc17572"/>
      <w:r>
        <w:rPr>
          <w:rFonts w:ascii="宋体" w:hAnsi="宋体" w:cs="Arial"/>
          <w:b/>
          <w:bCs/>
          <w:sz w:val="24"/>
        </w:rPr>
        <w:t>8.</w:t>
      </w:r>
      <w:r>
        <w:rPr>
          <w:rFonts w:ascii="宋体" w:hAnsi="宋体" w:cs="Arial"/>
          <w:b/>
          <w:bCs/>
          <w:sz w:val="24"/>
          <w:lang w:val="zh-CN"/>
        </w:rPr>
        <w:t>包装要求</w:t>
      </w:r>
      <w:bookmarkEnd w:id="342"/>
    </w:p>
    <w:p w14:paraId="7A67B672">
      <w:pPr>
        <w:autoSpaceDE w:val="0"/>
        <w:autoSpaceDN w:val="0"/>
        <w:spacing w:line="360" w:lineRule="auto"/>
        <w:rPr>
          <w:rFonts w:ascii="宋体" w:hAnsi="宋体" w:cs="Arial"/>
          <w:sz w:val="24"/>
        </w:rPr>
      </w:pPr>
      <w:r>
        <w:rPr>
          <w:rFonts w:ascii="宋体" w:hAnsi="宋体" w:cs="Arial"/>
          <w:sz w:val="24"/>
        </w:rPr>
        <w:t>8.1</w:t>
      </w:r>
      <w:r>
        <w:rPr>
          <w:rFonts w:ascii="宋体" w:hAnsi="宋体" w:cs="Arial"/>
          <w:sz w:val="24"/>
          <w:lang w:val="zh-CN"/>
        </w:rPr>
        <w:t>除合同另有约定外</w:t>
      </w:r>
      <w:r>
        <w:rPr>
          <w:rFonts w:ascii="宋体" w:hAnsi="宋体" w:cs="Arial"/>
          <w:sz w:val="24"/>
        </w:rPr>
        <w:t>,</w:t>
      </w:r>
      <w:r>
        <w:rPr>
          <w:rFonts w:ascii="宋体" w:hAnsi="宋体" w:cs="Arial"/>
          <w:sz w:val="24"/>
          <w:lang w:val="zh-CN"/>
        </w:rPr>
        <w:t>乙方提供的全部货物</w:t>
      </w:r>
      <w:r>
        <w:rPr>
          <w:rFonts w:ascii="宋体" w:hAnsi="宋体" w:cs="Arial"/>
          <w:sz w:val="24"/>
        </w:rPr>
        <w:t>,</w:t>
      </w:r>
      <w:r>
        <w:rPr>
          <w:rFonts w:ascii="宋体" w:hAnsi="宋体" w:cs="Arial"/>
          <w:sz w:val="24"/>
          <w:lang w:val="zh-CN"/>
        </w:rPr>
        <w:t>均应采用本行业通用的方式进行包装，且该包装应符合国家有关包装的法律、法规的规定。</w:t>
      </w:r>
    </w:p>
    <w:p w14:paraId="29A75356">
      <w:pPr>
        <w:autoSpaceDE w:val="0"/>
        <w:autoSpaceDN w:val="0"/>
        <w:spacing w:line="360" w:lineRule="auto"/>
        <w:rPr>
          <w:rFonts w:ascii="宋体" w:hAnsi="宋体" w:cs="Arial"/>
          <w:sz w:val="24"/>
        </w:rPr>
      </w:pPr>
      <w:r>
        <w:rPr>
          <w:rFonts w:ascii="宋体" w:hAnsi="宋体" w:cs="Arial"/>
          <w:sz w:val="24"/>
        </w:rPr>
        <w:t>8.2</w:t>
      </w:r>
      <w:r>
        <w:rPr>
          <w:rFonts w:ascii="宋体" w:hAnsi="宋体" w:cs="Arial"/>
          <w:sz w:val="24"/>
          <w:lang w:val="zh-CN"/>
        </w:rPr>
        <w:t>包装应适应于远距离运输，并有良好的防潮、防震、防锈和防粗暴装卸等保护措施，以确保货物安全运抵现场。由于包装不善所引起的货物锈蚀、损坏和损失均由乙方承担。</w:t>
      </w:r>
    </w:p>
    <w:p w14:paraId="71D52012">
      <w:pPr>
        <w:autoSpaceDE w:val="0"/>
        <w:autoSpaceDN w:val="0"/>
        <w:spacing w:line="360" w:lineRule="auto"/>
        <w:rPr>
          <w:rFonts w:ascii="宋体" w:hAnsi="宋体" w:cs="Arial"/>
          <w:sz w:val="24"/>
        </w:rPr>
      </w:pPr>
      <w:r>
        <w:rPr>
          <w:rFonts w:ascii="宋体" w:hAnsi="宋体" w:cs="Arial"/>
          <w:sz w:val="24"/>
          <w:lang w:val="zh-CN"/>
        </w:rPr>
        <w:t>乙方应提供货物运至合同规定的最终目的地所需要的包装，以防止货物在转运中损坏或变质。</w:t>
      </w:r>
    </w:p>
    <w:p w14:paraId="2E1571CB">
      <w:pPr>
        <w:autoSpaceDE w:val="0"/>
        <w:autoSpaceDN w:val="0"/>
        <w:spacing w:line="360" w:lineRule="auto"/>
        <w:rPr>
          <w:rFonts w:ascii="宋体" w:hAnsi="宋体" w:cs="Arial"/>
          <w:sz w:val="24"/>
        </w:rPr>
      </w:pPr>
      <w:r>
        <w:rPr>
          <w:rFonts w:ascii="宋体" w:hAnsi="宋体" w:cs="Arial"/>
          <w:sz w:val="24"/>
        </w:rPr>
        <w:t>8.3</w:t>
      </w:r>
      <w:r>
        <w:rPr>
          <w:rFonts w:ascii="宋体" w:hAnsi="宋体" w:cs="Arial"/>
          <w:sz w:val="24"/>
          <w:lang w:val="zh-CN"/>
        </w:rPr>
        <w:t>乙方所提供的货物包装均为出厂时原包装。</w:t>
      </w:r>
    </w:p>
    <w:p w14:paraId="203B4FDF">
      <w:pPr>
        <w:autoSpaceDE w:val="0"/>
        <w:autoSpaceDN w:val="0"/>
        <w:spacing w:line="360" w:lineRule="auto"/>
        <w:rPr>
          <w:rFonts w:ascii="宋体" w:hAnsi="宋体" w:cs="Arial"/>
          <w:sz w:val="24"/>
        </w:rPr>
      </w:pPr>
      <w:r>
        <w:rPr>
          <w:rFonts w:ascii="宋体" w:hAnsi="宋体" w:cs="Arial"/>
          <w:sz w:val="24"/>
        </w:rPr>
        <w:t>8.4</w:t>
      </w:r>
      <w:r>
        <w:rPr>
          <w:rFonts w:ascii="宋体" w:hAnsi="宋体" w:cs="Arial"/>
          <w:sz w:val="24"/>
          <w:lang w:val="zh-CN"/>
        </w:rPr>
        <w:t>乙方所提供货物必须附有质量合格证，装箱清单，主机、附件、各种零部件和消耗品，有清楚的与装箱单相对应的名称和编号。</w:t>
      </w:r>
    </w:p>
    <w:p w14:paraId="5C0179DC">
      <w:pPr>
        <w:autoSpaceDE w:val="0"/>
        <w:autoSpaceDN w:val="0"/>
        <w:spacing w:line="360" w:lineRule="auto"/>
        <w:rPr>
          <w:rFonts w:ascii="宋体" w:hAnsi="宋体" w:cs="Arial"/>
          <w:sz w:val="24"/>
        </w:rPr>
      </w:pPr>
      <w:r>
        <w:rPr>
          <w:rFonts w:ascii="宋体" w:hAnsi="宋体" w:cs="Arial"/>
          <w:sz w:val="24"/>
        </w:rPr>
        <w:t>8.5</w:t>
      </w:r>
      <w:r>
        <w:rPr>
          <w:rFonts w:ascii="宋体" w:hAnsi="宋体" w:cs="Arial"/>
          <w:sz w:val="24"/>
          <w:lang w:val="zh-CN"/>
        </w:rPr>
        <w:t>货物运输中的运输费用和保险费用均由乙方承担。运输过程中的一切损失、损坏均由乙方负责。</w:t>
      </w:r>
    </w:p>
    <w:p w14:paraId="3C8581F4">
      <w:pPr>
        <w:autoSpaceDE w:val="0"/>
        <w:autoSpaceDN w:val="0"/>
        <w:spacing w:line="360" w:lineRule="auto"/>
        <w:outlineLvl w:val="2"/>
        <w:rPr>
          <w:rFonts w:ascii="宋体" w:hAnsi="宋体" w:cs="Arial"/>
          <w:b/>
          <w:bCs/>
          <w:sz w:val="24"/>
        </w:rPr>
      </w:pPr>
      <w:bookmarkStart w:id="343" w:name="_Toc9733"/>
      <w:r>
        <w:rPr>
          <w:rFonts w:ascii="宋体" w:hAnsi="宋体" w:cs="Arial"/>
          <w:b/>
          <w:bCs/>
          <w:sz w:val="24"/>
        </w:rPr>
        <w:t xml:space="preserve">9. </w:t>
      </w:r>
      <w:r>
        <w:rPr>
          <w:rFonts w:ascii="宋体" w:hAnsi="宋体" w:cs="Arial"/>
          <w:b/>
          <w:bCs/>
          <w:sz w:val="24"/>
          <w:lang w:val="zh-CN"/>
        </w:rPr>
        <w:t>价格</w:t>
      </w:r>
      <w:bookmarkEnd w:id="343"/>
    </w:p>
    <w:p w14:paraId="42DC2E5D">
      <w:pPr>
        <w:autoSpaceDE w:val="0"/>
        <w:autoSpaceDN w:val="0"/>
        <w:spacing w:line="360" w:lineRule="auto"/>
        <w:rPr>
          <w:rFonts w:ascii="宋体" w:hAnsi="宋体" w:cs="Arial"/>
          <w:sz w:val="24"/>
        </w:rPr>
      </w:pPr>
      <w:r>
        <w:rPr>
          <w:rFonts w:ascii="宋体" w:hAnsi="宋体" w:cs="Arial"/>
          <w:sz w:val="24"/>
        </w:rPr>
        <w:t>9.1</w:t>
      </w:r>
      <w:r>
        <w:rPr>
          <w:rFonts w:ascii="宋体" w:hAnsi="宋体" w:cs="Arial"/>
          <w:sz w:val="24"/>
          <w:lang w:val="zh-CN"/>
        </w:rPr>
        <w:t>乙方履行合同所必须的所有费用，包括但不限于货物及部件的设计、检测与试验、制造、运输、装卸、保险、单机调试、安装调试指导、技术资料、培训、交通、人员、差旅、质量保证期服务费、其他管理费用、所有的检验、测试、调试、验收、试运行费用等均已包括在合同价格中。</w:t>
      </w:r>
    </w:p>
    <w:p w14:paraId="64232EC7">
      <w:pPr>
        <w:autoSpaceDE w:val="0"/>
        <w:autoSpaceDN w:val="0"/>
        <w:spacing w:line="360" w:lineRule="auto"/>
        <w:rPr>
          <w:rFonts w:ascii="宋体" w:hAnsi="宋体" w:cs="Arial"/>
          <w:sz w:val="24"/>
        </w:rPr>
      </w:pPr>
      <w:r>
        <w:rPr>
          <w:rFonts w:ascii="宋体" w:hAnsi="宋体" w:cs="Arial"/>
          <w:sz w:val="24"/>
        </w:rPr>
        <w:t>9.2</w:t>
      </w:r>
      <w:r>
        <w:rPr>
          <w:rFonts w:ascii="宋体" w:hAnsi="宋体" w:cs="Arial"/>
          <w:sz w:val="24"/>
          <w:lang w:val="zh-CN"/>
        </w:rPr>
        <w:t>本合同价格为固定价格，包括了乙方履行合同全过程产生的所有成本和费用以及乙方应承担的一切税费。</w:t>
      </w:r>
    </w:p>
    <w:p w14:paraId="01CEDF8E">
      <w:pPr>
        <w:autoSpaceDE w:val="0"/>
        <w:autoSpaceDN w:val="0"/>
        <w:spacing w:line="360" w:lineRule="auto"/>
        <w:rPr>
          <w:rFonts w:ascii="宋体" w:hAnsi="宋体" w:cs="Arial"/>
          <w:sz w:val="24"/>
        </w:rPr>
      </w:pPr>
      <w:r>
        <w:rPr>
          <w:rFonts w:ascii="宋体" w:hAnsi="宋体" w:cs="Arial"/>
          <w:sz w:val="24"/>
        </w:rPr>
        <w:t>9.3</w:t>
      </w:r>
      <w:r>
        <w:rPr>
          <w:rFonts w:ascii="宋体" w:hAnsi="宋体" w:cs="Arial"/>
          <w:sz w:val="24"/>
          <w:lang w:val="zh-CN"/>
        </w:rPr>
        <w:t>检验费用</w:t>
      </w:r>
    </w:p>
    <w:p w14:paraId="1FBAAA61">
      <w:pPr>
        <w:autoSpaceDE w:val="0"/>
        <w:autoSpaceDN w:val="0"/>
        <w:spacing w:line="360" w:lineRule="auto"/>
        <w:rPr>
          <w:rFonts w:ascii="宋体" w:hAnsi="宋体" w:cs="Arial"/>
          <w:sz w:val="24"/>
        </w:rPr>
      </w:pPr>
      <w:r>
        <w:rPr>
          <w:rFonts w:ascii="宋体" w:hAnsi="宋体" w:cs="Arial"/>
          <w:sz w:val="24"/>
        </w:rPr>
        <w:t>9.3.1</w:t>
      </w:r>
      <w:r>
        <w:rPr>
          <w:rFonts w:ascii="宋体" w:hAnsi="宋体" w:cs="Arial"/>
          <w:sz w:val="24"/>
          <w:lang w:val="zh-CN"/>
        </w:rPr>
        <w:t>乙方必须负担本条款下属于乙方负责的检验、测试、调试、试运行和验收的所有费用，并负责乙方派往买方组织的检验、测试和验收人员的所有费用。</w:t>
      </w:r>
    </w:p>
    <w:p w14:paraId="38A01EF7">
      <w:pPr>
        <w:autoSpaceDE w:val="0"/>
        <w:autoSpaceDN w:val="0"/>
        <w:spacing w:line="360" w:lineRule="auto"/>
        <w:rPr>
          <w:rFonts w:ascii="宋体" w:hAnsi="宋体" w:cs="Arial"/>
          <w:sz w:val="24"/>
        </w:rPr>
      </w:pPr>
      <w:r>
        <w:rPr>
          <w:rFonts w:ascii="宋体" w:hAnsi="宋体" w:cs="Arial"/>
          <w:sz w:val="24"/>
        </w:rPr>
        <w:t>9.3.2</w:t>
      </w:r>
      <w:r>
        <w:rPr>
          <w:rFonts w:ascii="宋体" w:hAnsi="宋体" w:cs="Arial"/>
          <w:sz w:val="24"/>
          <w:lang w:val="zh-CN"/>
        </w:rPr>
        <w:t>甲方按合同计划参加在乙方工厂所在地检验、测试和验收的费用全部由乙方负责并已包含在合同总价中。</w:t>
      </w:r>
    </w:p>
    <w:p w14:paraId="263375B3">
      <w:pPr>
        <w:autoSpaceDE w:val="0"/>
        <w:autoSpaceDN w:val="0"/>
        <w:spacing w:line="360" w:lineRule="auto"/>
        <w:rPr>
          <w:rFonts w:ascii="宋体" w:hAnsi="宋体" w:cs="Arial"/>
          <w:sz w:val="24"/>
        </w:rPr>
      </w:pPr>
      <w:r>
        <w:rPr>
          <w:rFonts w:ascii="宋体" w:hAnsi="宋体" w:cs="Arial"/>
          <w:sz w:val="24"/>
        </w:rPr>
        <w:t>9.3.3</w:t>
      </w:r>
      <w:r>
        <w:rPr>
          <w:rFonts w:ascii="宋体" w:hAnsi="宋体" w:cs="Arial"/>
          <w:sz w:val="24"/>
          <w:lang w:val="zh-CN"/>
        </w:rPr>
        <w:t>甲方检验人员已到卖方所在地，测试无法依照合同进行，而引起甲方人员延长逗留时间，所有由此产生的包括甲方人员在内的直接费用及成本由乙方承担。</w:t>
      </w:r>
    </w:p>
    <w:p w14:paraId="4BAD43EC">
      <w:pPr>
        <w:autoSpaceDE w:val="0"/>
        <w:autoSpaceDN w:val="0"/>
        <w:spacing w:line="360" w:lineRule="auto"/>
        <w:outlineLvl w:val="2"/>
        <w:rPr>
          <w:rFonts w:ascii="宋体" w:hAnsi="宋体" w:cs="Arial"/>
          <w:b/>
          <w:bCs/>
          <w:sz w:val="24"/>
        </w:rPr>
      </w:pPr>
      <w:bookmarkStart w:id="344" w:name="_Toc18383"/>
      <w:r>
        <w:rPr>
          <w:rFonts w:ascii="宋体" w:hAnsi="宋体" w:cs="Arial"/>
          <w:b/>
          <w:bCs/>
          <w:sz w:val="24"/>
        </w:rPr>
        <w:t>10.</w:t>
      </w:r>
      <w:r>
        <w:rPr>
          <w:rFonts w:hint="eastAsia" w:ascii="宋体" w:hAnsi="宋体" w:cs="Arial"/>
          <w:b/>
          <w:bCs/>
          <w:sz w:val="24"/>
        </w:rPr>
        <w:t>服务</w:t>
      </w:r>
      <w:r>
        <w:rPr>
          <w:rFonts w:ascii="宋体" w:hAnsi="宋体" w:cs="Arial"/>
          <w:b/>
          <w:bCs/>
          <w:sz w:val="24"/>
          <w:lang w:val="zh-CN"/>
        </w:rPr>
        <w:t>方式及</w:t>
      </w:r>
      <w:r>
        <w:rPr>
          <w:rFonts w:hint="eastAsia" w:ascii="宋体" w:hAnsi="宋体" w:cs="Arial"/>
          <w:b/>
          <w:bCs/>
          <w:sz w:val="24"/>
        </w:rPr>
        <w:t>服务</w:t>
      </w:r>
      <w:r>
        <w:rPr>
          <w:rFonts w:ascii="宋体" w:hAnsi="宋体" w:cs="Arial"/>
          <w:b/>
          <w:bCs/>
          <w:sz w:val="24"/>
          <w:lang w:val="zh-CN"/>
        </w:rPr>
        <w:t>日期</w:t>
      </w:r>
      <w:bookmarkEnd w:id="344"/>
    </w:p>
    <w:p w14:paraId="5CE75BE9">
      <w:pPr>
        <w:autoSpaceDE w:val="0"/>
        <w:autoSpaceDN w:val="0"/>
        <w:spacing w:line="360" w:lineRule="auto"/>
        <w:rPr>
          <w:rFonts w:ascii="宋体" w:hAnsi="宋体" w:cs="Arial"/>
          <w:sz w:val="24"/>
          <w:lang w:val="zh-CN"/>
        </w:rPr>
      </w:pPr>
      <w:r>
        <w:rPr>
          <w:rFonts w:ascii="宋体" w:hAnsi="宋体" w:cs="Arial"/>
          <w:sz w:val="24"/>
          <w:lang w:val="zh-CN"/>
        </w:rPr>
        <w:t>交货方式：现场交货，乙方负责办理运输和保险，将货物运抵现场。</w:t>
      </w:r>
    </w:p>
    <w:p w14:paraId="5D3E7ECC">
      <w:pPr>
        <w:autoSpaceDE w:val="0"/>
        <w:autoSpaceDN w:val="0"/>
        <w:spacing w:line="360" w:lineRule="auto"/>
        <w:rPr>
          <w:rFonts w:ascii="宋体" w:hAnsi="宋体" w:cs="Arial"/>
          <w:sz w:val="24"/>
          <w:lang w:val="zh-CN"/>
        </w:rPr>
      </w:pPr>
      <w:r>
        <w:rPr>
          <w:rFonts w:ascii="宋体" w:hAnsi="宋体" w:cs="Arial"/>
          <w:sz w:val="24"/>
          <w:lang w:val="zh-CN"/>
        </w:rPr>
        <w:t>交货期应根据产品的特点实事求是填写，进口产品90个工作日内，国产产品60个工作日内。特殊产品交货期需说明。</w:t>
      </w:r>
    </w:p>
    <w:p w14:paraId="03490509">
      <w:pPr>
        <w:autoSpaceDE w:val="0"/>
        <w:autoSpaceDN w:val="0"/>
        <w:spacing w:line="360" w:lineRule="auto"/>
        <w:rPr>
          <w:rFonts w:ascii="宋体" w:hAnsi="宋体" w:cs="Arial"/>
          <w:sz w:val="24"/>
          <w:lang w:val="zh-CN"/>
        </w:rPr>
      </w:pPr>
      <w:r>
        <w:rPr>
          <w:rFonts w:ascii="宋体" w:hAnsi="宋体" w:cs="Arial"/>
          <w:sz w:val="24"/>
          <w:lang w:val="zh-CN"/>
        </w:rPr>
        <w:t>交货日期：所有货物运抵现场并经双方开箱验收合格之日。</w:t>
      </w:r>
    </w:p>
    <w:p w14:paraId="3AC3825C">
      <w:pPr>
        <w:autoSpaceDE w:val="0"/>
        <w:autoSpaceDN w:val="0"/>
        <w:spacing w:line="360" w:lineRule="auto"/>
        <w:outlineLvl w:val="2"/>
        <w:rPr>
          <w:rFonts w:ascii="宋体" w:hAnsi="宋体" w:cs="Arial"/>
          <w:b/>
          <w:sz w:val="24"/>
          <w:lang w:val="zh-CN"/>
        </w:rPr>
      </w:pPr>
      <w:bookmarkStart w:id="345" w:name="_Toc24602"/>
      <w:r>
        <w:rPr>
          <w:rFonts w:ascii="宋体" w:hAnsi="宋体" w:cs="Arial"/>
          <w:b/>
          <w:sz w:val="24"/>
          <w:lang w:val="zh-CN"/>
        </w:rPr>
        <w:t>11.检验和验收</w:t>
      </w:r>
      <w:bookmarkEnd w:id="345"/>
    </w:p>
    <w:p w14:paraId="050367F2">
      <w:pPr>
        <w:autoSpaceDE w:val="0"/>
        <w:autoSpaceDN w:val="0"/>
        <w:spacing w:line="360" w:lineRule="auto"/>
        <w:rPr>
          <w:rFonts w:ascii="宋体" w:hAnsi="宋体" w:cs="Arial"/>
          <w:sz w:val="24"/>
        </w:rPr>
      </w:pPr>
      <w:r>
        <w:rPr>
          <w:rFonts w:ascii="宋体" w:hAnsi="宋体" w:cs="Arial"/>
          <w:sz w:val="24"/>
        </w:rPr>
        <w:t>11.1</w:t>
      </w:r>
      <w:r>
        <w:rPr>
          <w:rFonts w:ascii="宋体" w:hAnsi="宋体" w:cs="Arial"/>
          <w:sz w:val="24"/>
          <w:lang w:val="zh-CN"/>
        </w:rPr>
        <w:t>开箱验收</w:t>
      </w:r>
    </w:p>
    <w:p w14:paraId="09FDFFFB">
      <w:pPr>
        <w:autoSpaceDE w:val="0"/>
        <w:autoSpaceDN w:val="0"/>
        <w:spacing w:line="360" w:lineRule="auto"/>
        <w:rPr>
          <w:rFonts w:ascii="宋体" w:hAnsi="宋体" w:cs="Arial"/>
          <w:sz w:val="24"/>
        </w:rPr>
      </w:pPr>
      <w:r>
        <w:rPr>
          <w:rFonts w:ascii="宋体" w:hAnsi="宋体" w:cs="Arial"/>
          <w:sz w:val="24"/>
        </w:rPr>
        <w:t>11.1.1</w:t>
      </w:r>
      <w:r>
        <w:rPr>
          <w:rFonts w:ascii="宋体" w:hAnsi="宋体" w:cs="Arial"/>
          <w:sz w:val="24"/>
          <w:lang w:val="zh-CN"/>
        </w:rPr>
        <w:t>货物运抵现场后，双方应及时开箱验收，并制作验收记录，以确认与本合同约定的数量、型号等是否一致。</w:t>
      </w:r>
    </w:p>
    <w:p w14:paraId="1A66322F">
      <w:pPr>
        <w:autoSpaceDE w:val="0"/>
        <w:autoSpaceDN w:val="0"/>
        <w:spacing w:line="360" w:lineRule="auto"/>
        <w:rPr>
          <w:rFonts w:ascii="宋体" w:hAnsi="宋体" w:cs="Arial"/>
          <w:sz w:val="24"/>
        </w:rPr>
      </w:pPr>
      <w:r>
        <w:rPr>
          <w:rFonts w:ascii="宋体" w:hAnsi="宋体" w:cs="Arial"/>
          <w:sz w:val="24"/>
        </w:rPr>
        <w:t>11.1.2</w:t>
      </w:r>
      <w:r>
        <w:rPr>
          <w:rFonts w:ascii="宋体" w:hAnsi="宋体" w:cs="Arial"/>
          <w:sz w:val="24"/>
          <w:lang w:val="zh-CN"/>
        </w:rPr>
        <w:t>乙方应在交货前对货物的质量、规格、数量等进行详细而全面的检验，并出具证明货物符合合同规定的文件。该文件将作为申请付款单据的一部分，但有关质量、规格、数量的检验不应视为最终检验。</w:t>
      </w:r>
    </w:p>
    <w:p w14:paraId="6553D7EF">
      <w:pPr>
        <w:autoSpaceDE w:val="0"/>
        <w:autoSpaceDN w:val="0"/>
        <w:spacing w:line="360" w:lineRule="auto"/>
        <w:rPr>
          <w:rFonts w:ascii="宋体" w:hAnsi="宋体" w:cs="Arial"/>
          <w:sz w:val="24"/>
        </w:rPr>
      </w:pPr>
      <w:r>
        <w:rPr>
          <w:rFonts w:ascii="宋体" w:hAnsi="宋体" w:cs="Arial"/>
          <w:sz w:val="24"/>
        </w:rPr>
        <w:t>11.1.3</w:t>
      </w:r>
      <w:r>
        <w:rPr>
          <w:rFonts w:ascii="宋体" w:hAnsi="宋体" w:cs="Arial"/>
          <w:sz w:val="24"/>
          <w:lang w:val="zh-CN"/>
        </w:rPr>
        <w:t>开箱验收中如发现货物的数量、规格与合同约定不符，甲方有权拒收货物，乙方应及时按甲方要求免费对拒收货物采取更换或其他必要的补救措施，直至开箱验收合格，方视为乙方完中标货。</w:t>
      </w:r>
    </w:p>
    <w:p w14:paraId="1B2F4592">
      <w:pPr>
        <w:autoSpaceDE w:val="0"/>
        <w:autoSpaceDN w:val="0"/>
        <w:spacing w:line="360" w:lineRule="auto"/>
        <w:rPr>
          <w:rFonts w:ascii="宋体" w:hAnsi="宋体" w:cs="Arial"/>
          <w:sz w:val="24"/>
        </w:rPr>
      </w:pPr>
      <w:r>
        <w:rPr>
          <w:rFonts w:ascii="宋体" w:hAnsi="宋体" w:cs="Arial"/>
          <w:sz w:val="24"/>
        </w:rPr>
        <w:t>11.2</w:t>
      </w:r>
      <w:r>
        <w:rPr>
          <w:rFonts w:ascii="宋体" w:hAnsi="宋体" w:cs="Arial"/>
          <w:sz w:val="24"/>
          <w:lang w:val="zh-CN"/>
        </w:rPr>
        <w:t>检验验收</w:t>
      </w:r>
    </w:p>
    <w:p w14:paraId="61D2DB10">
      <w:pPr>
        <w:autoSpaceDE w:val="0"/>
        <w:autoSpaceDN w:val="0"/>
        <w:spacing w:line="360" w:lineRule="auto"/>
        <w:rPr>
          <w:rFonts w:ascii="宋体" w:hAnsi="宋体" w:cs="Arial"/>
          <w:sz w:val="24"/>
        </w:rPr>
      </w:pPr>
      <w:r>
        <w:rPr>
          <w:rFonts w:ascii="宋体" w:hAnsi="宋体" w:cs="Arial"/>
          <w:sz w:val="24"/>
        </w:rPr>
        <w:t>11.2.1</w:t>
      </w:r>
      <w:r>
        <w:rPr>
          <w:rFonts w:ascii="宋体" w:hAnsi="宋体" w:cs="Arial"/>
          <w:sz w:val="24"/>
          <w:lang w:val="zh-CN"/>
        </w:rPr>
        <w:t>交货完成后，乙方应及时组装、调试、试运行，按照合同专用条款规定的试运行完成后，双方及时组织对货物检验验收。合同双方均须派人参加合同要求双方参加的试验、检验。</w:t>
      </w:r>
    </w:p>
    <w:p w14:paraId="381F24C8">
      <w:pPr>
        <w:autoSpaceDE w:val="0"/>
        <w:autoSpaceDN w:val="0"/>
        <w:spacing w:line="360" w:lineRule="auto"/>
        <w:rPr>
          <w:rFonts w:ascii="宋体" w:hAnsi="宋体" w:cs="Arial"/>
          <w:sz w:val="24"/>
        </w:rPr>
      </w:pPr>
      <w:r>
        <w:rPr>
          <w:rFonts w:ascii="宋体" w:hAnsi="宋体" w:cs="Arial"/>
          <w:sz w:val="24"/>
        </w:rPr>
        <w:t>11.2.2</w:t>
      </w:r>
      <w:r>
        <w:rPr>
          <w:rFonts w:ascii="宋体" w:hAnsi="宋体" w:cs="Arial"/>
          <w:sz w:val="24"/>
          <w:lang w:val="zh-CN"/>
        </w:rPr>
        <w:t>在具体实施合同规定的检验验收之前，乙方需提前提交相应的测试计划（包括测试程序、测试内容和检验标准、试验时间安排等）供甲方确认。</w:t>
      </w:r>
    </w:p>
    <w:p w14:paraId="7A48298D">
      <w:pPr>
        <w:autoSpaceDE w:val="0"/>
        <w:autoSpaceDN w:val="0"/>
        <w:spacing w:line="360" w:lineRule="auto"/>
        <w:rPr>
          <w:rFonts w:ascii="宋体" w:hAnsi="宋体" w:cs="Arial"/>
          <w:sz w:val="24"/>
        </w:rPr>
      </w:pPr>
      <w:r>
        <w:rPr>
          <w:rFonts w:ascii="宋体" w:hAnsi="宋体" w:cs="Arial"/>
          <w:sz w:val="24"/>
        </w:rPr>
        <w:t>11.2.3</w:t>
      </w:r>
      <w:r>
        <w:rPr>
          <w:rFonts w:ascii="宋体" w:hAnsi="宋体" w:cs="Arial"/>
          <w:sz w:val="24"/>
          <w:lang w:val="zh-CN"/>
        </w:rPr>
        <w:t>除需甲方确认的试验验收外，乙方还应对所有检验验收测试的结果、步骤、原始数据等作妥善记录。如甲方要求，乙方应提供这些记录给买方。</w:t>
      </w:r>
    </w:p>
    <w:p w14:paraId="50126DE6">
      <w:pPr>
        <w:autoSpaceDE w:val="0"/>
        <w:autoSpaceDN w:val="0"/>
        <w:spacing w:line="360" w:lineRule="auto"/>
        <w:rPr>
          <w:rFonts w:ascii="宋体" w:hAnsi="宋体" w:cs="Arial"/>
          <w:sz w:val="24"/>
        </w:rPr>
      </w:pPr>
      <w:r>
        <w:rPr>
          <w:rFonts w:ascii="宋体" w:hAnsi="宋体" w:cs="Arial"/>
          <w:sz w:val="24"/>
        </w:rPr>
        <w:t>11.2.4</w:t>
      </w:r>
      <w:r>
        <w:rPr>
          <w:rFonts w:ascii="宋体" w:hAnsi="宋体" w:cs="Arial"/>
          <w:sz w:val="24"/>
          <w:lang w:val="zh-CN"/>
        </w:rPr>
        <w:t>检验测试出现全部或部分未达到本合同所约定的技术指标，甲方有权选择下列任一处理方式：</w:t>
      </w:r>
    </w:p>
    <w:p w14:paraId="76903BDE">
      <w:pPr>
        <w:autoSpaceDE w:val="0"/>
        <w:autoSpaceDN w:val="0"/>
        <w:spacing w:line="360" w:lineRule="auto"/>
        <w:rPr>
          <w:rFonts w:ascii="宋体" w:hAnsi="宋体" w:cs="Arial"/>
          <w:sz w:val="24"/>
        </w:rPr>
      </w:pPr>
      <w:r>
        <w:rPr>
          <w:rFonts w:ascii="宋体" w:hAnsi="宋体" w:cs="Arial"/>
          <w:sz w:val="24"/>
        </w:rPr>
        <w:t>a.</w:t>
      </w:r>
      <w:r>
        <w:rPr>
          <w:rFonts w:ascii="宋体" w:hAnsi="宋体" w:cs="Arial"/>
          <w:sz w:val="24"/>
          <w:lang w:val="zh-CN"/>
        </w:rPr>
        <w:t>重新测试直至合格为止；</w:t>
      </w:r>
    </w:p>
    <w:p w14:paraId="403CD06D">
      <w:pPr>
        <w:autoSpaceDE w:val="0"/>
        <w:autoSpaceDN w:val="0"/>
        <w:spacing w:line="360" w:lineRule="auto"/>
        <w:rPr>
          <w:rFonts w:ascii="宋体" w:hAnsi="宋体" w:cs="Arial"/>
          <w:sz w:val="24"/>
        </w:rPr>
      </w:pPr>
      <w:r>
        <w:rPr>
          <w:rFonts w:ascii="宋体" w:hAnsi="宋体" w:cs="Arial"/>
          <w:sz w:val="24"/>
        </w:rPr>
        <w:t>b.</w:t>
      </w:r>
      <w:r>
        <w:rPr>
          <w:rFonts w:ascii="宋体" w:hAnsi="宋体" w:cs="Arial"/>
          <w:sz w:val="24"/>
          <w:lang w:val="zh-CN"/>
        </w:rPr>
        <w:t>要求乙方对货物进行免费更换，然后重新测试直至合格为止；</w:t>
      </w:r>
    </w:p>
    <w:p w14:paraId="5444BA05">
      <w:pPr>
        <w:autoSpaceDE w:val="0"/>
        <w:autoSpaceDN w:val="0"/>
        <w:spacing w:line="360" w:lineRule="auto"/>
        <w:rPr>
          <w:rFonts w:ascii="宋体" w:hAnsi="宋体" w:cs="Arial"/>
          <w:sz w:val="24"/>
        </w:rPr>
      </w:pPr>
      <w:r>
        <w:rPr>
          <w:rFonts w:ascii="宋体" w:hAnsi="宋体" w:cs="Arial"/>
          <w:sz w:val="24"/>
          <w:lang w:val="zh-CN"/>
        </w:rPr>
        <w:t>无论选择何种方式，甲方因此而发生的因卖方原因引起的所有费用均由乙方负担。</w:t>
      </w:r>
    </w:p>
    <w:p w14:paraId="68DE7344">
      <w:pPr>
        <w:autoSpaceDE w:val="0"/>
        <w:autoSpaceDN w:val="0"/>
        <w:spacing w:line="360" w:lineRule="auto"/>
        <w:rPr>
          <w:rFonts w:ascii="宋体" w:hAnsi="宋体" w:cs="Arial"/>
          <w:sz w:val="24"/>
        </w:rPr>
      </w:pPr>
      <w:r>
        <w:rPr>
          <w:rFonts w:ascii="宋体" w:hAnsi="宋体" w:cs="Arial"/>
          <w:sz w:val="24"/>
        </w:rPr>
        <w:t xml:space="preserve">11.3 </w:t>
      </w:r>
      <w:r>
        <w:rPr>
          <w:rFonts w:ascii="宋体" w:hAnsi="宋体" w:cs="Arial"/>
          <w:sz w:val="24"/>
          <w:lang w:val="zh-CN"/>
        </w:rPr>
        <w:t>使用过程检验</w:t>
      </w:r>
    </w:p>
    <w:p w14:paraId="2C073C7E">
      <w:pPr>
        <w:autoSpaceDE w:val="0"/>
        <w:autoSpaceDN w:val="0"/>
        <w:spacing w:line="360" w:lineRule="auto"/>
        <w:rPr>
          <w:rFonts w:ascii="宋体" w:hAnsi="宋体" w:cs="Arial"/>
          <w:sz w:val="24"/>
        </w:rPr>
      </w:pPr>
      <w:r>
        <w:rPr>
          <w:rFonts w:ascii="宋体" w:hAnsi="宋体" w:cs="Arial"/>
          <w:sz w:val="24"/>
        </w:rPr>
        <w:t>11.3.1</w:t>
      </w:r>
      <w:r>
        <w:rPr>
          <w:rFonts w:ascii="宋体" w:hAnsi="宋体" w:cs="Arial"/>
          <w:sz w:val="24"/>
          <w:lang w:val="zh-CN"/>
        </w:rPr>
        <w:t>在合同规定的质量保证期内，发现货物的质量或规格与合同规定不符，或证明货物有缺陷，包括潜在的缺陷或使用不合适的原材料等，由甲方组织质检（相关检测费用由卖方承担），据质检报告及质量保证条款向卖方提出索赔，此索赔并不免除乙方应承担的合同义务。</w:t>
      </w:r>
    </w:p>
    <w:p w14:paraId="501619E8">
      <w:pPr>
        <w:autoSpaceDE w:val="0"/>
        <w:autoSpaceDN w:val="0"/>
        <w:spacing w:line="360" w:lineRule="auto"/>
        <w:rPr>
          <w:rFonts w:ascii="宋体" w:hAnsi="宋体" w:cs="Arial"/>
          <w:sz w:val="24"/>
        </w:rPr>
      </w:pPr>
      <w:r>
        <w:rPr>
          <w:rFonts w:ascii="宋体" w:hAnsi="宋体" w:cs="Arial"/>
          <w:sz w:val="24"/>
        </w:rPr>
        <w:t>11.3.2</w:t>
      </w:r>
      <w:r>
        <w:rPr>
          <w:rFonts w:ascii="宋体" w:hAnsi="宋体" w:cs="Arial"/>
          <w:sz w:val="24"/>
          <w:lang w:val="zh-CN"/>
        </w:rPr>
        <w:t>如果合同双方对乙方提供的上述试验结果报告的解释有分歧，双方须于出现分歧后</w:t>
      </w:r>
      <w:r>
        <w:rPr>
          <w:rFonts w:ascii="宋体" w:hAnsi="宋体" w:cs="Arial"/>
          <w:sz w:val="24"/>
        </w:rPr>
        <w:t>10</w:t>
      </w:r>
      <w:r>
        <w:rPr>
          <w:rFonts w:ascii="宋体" w:hAnsi="宋体" w:cs="Arial"/>
          <w:sz w:val="24"/>
          <w:lang w:val="zh-CN"/>
        </w:rPr>
        <w:t>天内给对方声明，以陈述己方的观点。声明须附有关证据。分歧应通过协商解决。</w:t>
      </w:r>
    </w:p>
    <w:p w14:paraId="36AADAF8">
      <w:pPr>
        <w:autoSpaceDE w:val="0"/>
        <w:autoSpaceDN w:val="0"/>
        <w:spacing w:line="360" w:lineRule="auto"/>
        <w:outlineLvl w:val="2"/>
        <w:rPr>
          <w:rFonts w:ascii="宋体" w:hAnsi="宋体" w:cs="Arial"/>
          <w:b/>
          <w:bCs/>
          <w:sz w:val="24"/>
        </w:rPr>
      </w:pPr>
      <w:bookmarkStart w:id="346" w:name="_Toc28657"/>
      <w:r>
        <w:rPr>
          <w:rFonts w:ascii="宋体" w:hAnsi="宋体" w:cs="Arial"/>
          <w:b/>
          <w:bCs/>
          <w:sz w:val="24"/>
        </w:rPr>
        <w:t>12.</w:t>
      </w:r>
      <w:r>
        <w:rPr>
          <w:rFonts w:ascii="宋体" w:hAnsi="宋体" w:cs="Arial"/>
          <w:b/>
          <w:bCs/>
          <w:sz w:val="24"/>
          <w:lang w:val="zh-CN"/>
        </w:rPr>
        <w:t>付款条件</w:t>
      </w:r>
      <w:bookmarkEnd w:id="346"/>
    </w:p>
    <w:p w14:paraId="10219941">
      <w:pPr>
        <w:autoSpaceDE w:val="0"/>
        <w:autoSpaceDN w:val="0"/>
        <w:spacing w:line="360" w:lineRule="auto"/>
        <w:rPr>
          <w:rFonts w:ascii="宋体" w:hAnsi="宋体" w:cs="Arial"/>
          <w:sz w:val="24"/>
          <w:lang w:val="zh-CN"/>
        </w:rPr>
      </w:pPr>
      <w:r>
        <w:rPr>
          <w:rFonts w:ascii="宋体" w:hAnsi="宋体" w:cs="Arial"/>
          <w:sz w:val="24"/>
          <w:lang w:val="zh-CN"/>
        </w:rPr>
        <w:t>本合同条款下的付款方法和条件在“青海省政府采购项目合同书”中具体规定。</w:t>
      </w:r>
    </w:p>
    <w:p w14:paraId="25384C99">
      <w:pPr>
        <w:autoSpaceDE w:val="0"/>
        <w:autoSpaceDN w:val="0"/>
        <w:spacing w:line="360" w:lineRule="auto"/>
        <w:outlineLvl w:val="2"/>
        <w:rPr>
          <w:rFonts w:ascii="宋体" w:hAnsi="宋体" w:cs="宋体"/>
          <w:b/>
          <w:bCs/>
          <w:sz w:val="24"/>
          <w:lang w:val="zh-CN"/>
        </w:rPr>
      </w:pPr>
      <w:bookmarkStart w:id="347" w:name="_Toc314"/>
      <w:r>
        <w:rPr>
          <w:rFonts w:hint="eastAsia" w:ascii="宋体" w:hAnsi="宋体" w:cs="宋体"/>
          <w:b/>
          <w:bCs/>
          <w:sz w:val="24"/>
          <w:lang w:val="zh-CN"/>
        </w:rPr>
        <w:t>13.履约保证金</w:t>
      </w:r>
      <w:bookmarkEnd w:id="347"/>
    </w:p>
    <w:p w14:paraId="65F03DAB">
      <w:pPr>
        <w:autoSpaceDE w:val="0"/>
        <w:autoSpaceDN w:val="0"/>
        <w:spacing w:line="360" w:lineRule="auto"/>
        <w:rPr>
          <w:rFonts w:ascii="宋体" w:hAnsi="宋体" w:cs="宋体"/>
          <w:sz w:val="24"/>
          <w:lang w:val="zh-CN"/>
        </w:rPr>
      </w:pPr>
      <w:r>
        <w:rPr>
          <w:rFonts w:hint="eastAsia" w:ascii="宋体" w:hAnsi="宋体" w:cs="宋体"/>
          <w:sz w:val="24"/>
          <w:lang w:val="zh-CN"/>
        </w:rPr>
        <w:t>13.1乙方应在合同签订前，按约定提交履约保证金。</w:t>
      </w:r>
    </w:p>
    <w:p w14:paraId="78A591E0">
      <w:pPr>
        <w:autoSpaceDE w:val="0"/>
        <w:autoSpaceDN w:val="0"/>
        <w:spacing w:line="360" w:lineRule="auto"/>
        <w:rPr>
          <w:rFonts w:ascii="宋体" w:hAnsi="宋体" w:cs="宋体"/>
          <w:sz w:val="24"/>
          <w:lang w:val="zh-CN"/>
        </w:rPr>
      </w:pPr>
      <w:r>
        <w:rPr>
          <w:rFonts w:hint="eastAsia" w:ascii="宋体" w:hAnsi="宋体" w:cs="宋体"/>
          <w:sz w:val="24"/>
          <w:lang w:val="zh-CN"/>
        </w:rPr>
        <w:t>13.2履约保证金用于补偿甲方因乙方不能履行其合同义务而蒙受的损失。</w:t>
      </w:r>
    </w:p>
    <w:p w14:paraId="541CCCA6">
      <w:pPr>
        <w:autoSpaceDE w:val="0"/>
        <w:autoSpaceDN w:val="0"/>
        <w:spacing w:line="360" w:lineRule="auto"/>
        <w:rPr>
          <w:rFonts w:ascii="宋体" w:hAnsi="宋体" w:cs="宋体"/>
          <w:sz w:val="24"/>
          <w:lang w:val="zh-CN"/>
        </w:rPr>
      </w:pPr>
      <w:r>
        <w:rPr>
          <w:rFonts w:hint="eastAsia" w:ascii="宋体" w:hAnsi="宋体" w:cs="宋体"/>
          <w:sz w:val="24"/>
          <w:lang w:val="zh-CN"/>
        </w:rPr>
        <w:t>13.3履约保证金应使用本合同货币，按下述方式之一提交（招标文件中另有约定的除外）：</w:t>
      </w:r>
    </w:p>
    <w:p w14:paraId="3F6D4E9F">
      <w:pPr>
        <w:autoSpaceDE w:val="0"/>
        <w:autoSpaceDN w:val="0"/>
        <w:spacing w:line="360" w:lineRule="auto"/>
        <w:rPr>
          <w:rFonts w:ascii="宋体" w:hAnsi="宋体" w:cs="宋体"/>
          <w:sz w:val="24"/>
          <w:lang w:val="zh-CN"/>
        </w:rPr>
      </w:pPr>
      <w:r>
        <w:rPr>
          <w:rFonts w:hint="eastAsia" w:ascii="宋体" w:hAnsi="宋体" w:cs="宋体"/>
          <w:sz w:val="24"/>
          <w:lang w:val="zh-CN"/>
        </w:rPr>
        <w:t>13.4甲方可接受的在中华人民共和国注册和营业的银行出具的履约保函；</w:t>
      </w:r>
    </w:p>
    <w:p w14:paraId="5EA57ABA">
      <w:pPr>
        <w:autoSpaceDE w:val="0"/>
        <w:autoSpaceDN w:val="0"/>
        <w:spacing w:line="360" w:lineRule="auto"/>
        <w:rPr>
          <w:rFonts w:ascii="宋体" w:hAnsi="宋体" w:cs="宋体"/>
          <w:sz w:val="24"/>
          <w:lang w:val="zh-CN"/>
        </w:rPr>
      </w:pPr>
      <w:r>
        <w:rPr>
          <w:rFonts w:hint="eastAsia" w:ascii="宋体" w:hAnsi="宋体" w:cs="宋体"/>
          <w:sz w:val="24"/>
          <w:lang w:val="zh-CN"/>
        </w:rPr>
        <w:t>13.5支票或汇票。</w:t>
      </w:r>
    </w:p>
    <w:p w14:paraId="00F0AB5F">
      <w:pPr>
        <w:autoSpaceDE w:val="0"/>
        <w:autoSpaceDN w:val="0"/>
        <w:spacing w:line="360" w:lineRule="auto"/>
        <w:rPr>
          <w:rFonts w:ascii="宋体" w:hAnsi="宋体" w:cs="宋体"/>
          <w:sz w:val="24"/>
          <w:lang w:val="zh-CN"/>
        </w:rPr>
      </w:pPr>
      <w:r>
        <w:rPr>
          <w:rFonts w:hint="eastAsia" w:ascii="宋体" w:hAnsi="宋体" w:cs="宋体"/>
          <w:sz w:val="24"/>
          <w:lang w:val="zh-CN"/>
        </w:rPr>
        <w:t>13.6乙方未能按合同规定履行其义务，甲方有权从履约保证金中取得补偿。货物验收合格后，甲方将履约保证金退还乙方或转为质量保证金。</w:t>
      </w:r>
    </w:p>
    <w:p w14:paraId="0FD2FE9C">
      <w:pPr>
        <w:autoSpaceDE w:val="0"/>
        <w:autoSpaceDN w:val="0"/>
        <w:spacing w:line="360" w:lineRule="auto"/>
        <w:outlineLvl w:val="2"/>
        <w:rPr>
          <w:rFonts w:ascii="宋体" w:hAnsi="宋体" w:cs="Arial"/>
          <w:b/>
          <w:bCs/>
          <w:sz w:val="24"/>
        </w:rPr>
      </w:pPr>
      <w:bookmarkStart w:id="348" w:name="_Toc27172"/>
      <w:r>
        <w:rPr>
          <w:rFonts w:ascii="宋体" w:hAnsi="宋体" w:cs="Arial"/>
          <w:b/>
          <w:bCs/>
          <w:sz w:val="24"/>
        </w:rPr>
        <w:t>14.</w:t>
      </w:r>
      <w:r>
        <w:rPr>
          <w:rFonts w:ascii="宋体" w:hAnsi="宋体" w:cs="Arial"/>
          <w:b/>
          <w:bCs/>
          <w:sz w:val="24"/>
          <w:lang w:val="zh-CN"/>
        </w:rPr>
        <w:t>索赔</w:t>
      </w:r>
      <w:bookmarkEnd w:id="348"/>
    </w:p>
    <w:p w14:paraId="31C07D41">
      <w:pPr>
        <w:autoSpaceDE w:val="0"/>
        <w:autoSpaceDN w:val="0"/>
        <w:spacing w:line="360" w:lineRule="auto"/>
        <w:rPr>
          <w:rFonts w:ascii="宋体" w:hAnsi="宋体" w:cs="Arial"/>
          <w:sz w:val="24"/>
        </w:rPr>
      </w:pPr>
      <w:r>
        <w:rPr>
          <w:rFonts w:ascii="宋体" w:hAnsi="宋体" w:cs="Arial"/>
          <w:sz w:val="24"/>
        </w:rPr>
        <w:t>14.1</w:t>
      </w:r>
      <w:r>
        <w:rPr>
          <w:rFonts w:ascii="宋体" w:hAnsi="宋体" w:cs="Arial"/>
          <w:sz w:val="24"/>
          <w:lang w:val="zh-CN"/>
        </w:rPr>
        <w:t>货物的质量、规格、数量、性能等与合同约定不符，或在质量保证期内证实货物存有缺陷，包括潜在的缺陷或使用不符合要求的材料等，甲方有权根据有资质的权威质检机构的检验结果向乙方提出索赔（但责任应由保险公司或运输部门承担的除外）。</w:t>
      </w:r>
    </w:p>
    <w:p w14:paraId="7043CA45">
      <w:pPr>
        <w:autoSpaceDE w:val="0"/>
        <w:autoSpaceDN w:val="0"/>
        <w:spacing w:line="360" w:lineRule="auto"/>
        <w:rPr>
          <w:rFonts w:ascii="宋体" w:hAnsi="宋体" w:cs="Arial"/>
          <w:sz w:val="24"/>
        </w:rPr>
      </w:pPr>
      <w:r>
        <w:rPr>
          <w:rFonts w:ascii="宋体" w:hAnsi="宋体" w:cs="Arial"/>
          <w:sz w:val="24"/>
        </w:rPr>
        <w:t>14.2</w:t>
      </w:r>
      <w:r>
        <w:rPr>
          <w:rFonts w:ascii="宋体" w:hAnsi="宋体" w:cs="Arial"/>
          <w:sz w:val="24"/>
          <w:lang w:val="zh-CN"/>
        </w:rPr>
        <w:t>在履约保证期和检验期内，乙方对甲方提出的索赔负有责任，乙方应按照甲方同意的下列一种或多种方式解决索赔事宜：</w:t>
      </w:r>
    </w:p>
    <w:p w14:paraId="5A6AC6EA">
      <w:pPr>
        <w:autoSpaceDE w:val="0"/>
        <w:autoSpaceDN w:val="0"/>
        <w:spacing w:line="360" w:lineRule="auto"/>
        <w:rPr>
          <w:rFonts w:ascii="宋体" w:hAnsi="宋体" w:cs="Arial"/>
          <w:sz w:val="24"/>
        </w:rPr>
      </w:pPr>
      <w:r>
        <w:rPr>
          <w:rFonts w:ascii="宋体" w:hAnsi="宋体" w:cs="Arial"/>
          <w:sz w:val="24"/>
        </w:rPr>
        <w:t>14.2.1</w:t>
      </w:r>
      <w:r>
        <w:rPr>
          <w:rFonts w:ascii="宋体" w:hAnsi="宋体" w:cs="Arial"/>
          <w:sz w:val="24"/>
          <w:lang w:val="zh-CN"/>
        </w:rPr>
        <w:t>在法定的退货期内，乙方应按合同规定将货款退还给甲方，并承担由此发生的一切损失和费用，包括利息、银行手续费、运费、保险费、检验费、仓储费、装卸费以及为保护退回货物所需的其它必要费用。如已超过退货期，但乙方同意退货，可比照上述办法办理，或由双方协商处理。</w:t>
      </w:r>
    </w:p>
    <w:p w14:paraId="79CD9EB5">
      <w:pPr>
        <w:autoSpaceDE w:val="0"/>
        <w:autoSpaceDN w:val="0"/>
        <w:spacing w:line="360" w:lineRule="auto"/>
        <w:rPr>
          <w:rFonts w:ascii="宋体" w:hAnsi="宋体" w:cs="Arial"/>
          <w:sz w:val="24"/>
        </w:rPr>
      </w:pPr>
      <w:r>
        <w:rPr>
          <w:rFonts w:ascii="宋体" w:hAnsi="宋体" w:cs="Arial"/>
          <w:sz w:val="24"/>
        </w:rPr>
        <w:t>14.2.2</w:t>
      </w:r>
      <w:r>
        <w:rPr>
          <w:rFonts w:ascii="宋体" w:hAnsi="宋体" w:cs="Arial"/>
          <w:sz w:val="24"/>
          <w:lang w:val="zh-CN"/>
        </w:rPr>
        <w:t>根据货物低劣程度、损坏程度以及甲方所遭受损失的数额，经甲乙双方商定降低货物的价格，或由有资质的中介机构评估，以降低后的价格或评估价格为准。</w:t>
      </w:r>
    </w:p>
    <w:p w14:paraId="03BA8041">
      <w:pPr>
        <w:autoSpaceDE w:val="0"/>
        <w:autoSpaceDN w:val="0"/>
        <w:spacing w:line="360" w:lineRule="auto"/>
        <w:rPr>
          <w:rFonts w:ascii="宋体" w:hAnsi="宋体" w:cs="Arial"/>
          <w:sz w:val="24"/>
        </w:rPr>
      </w:pPr>
      <w:r>
        <w:rPr>
          <w:rFonts w:ascii="宋体" w:hAnsi="宋体" w:cs="Arial"/>
          <w:sz w:val="24"/>
        </w:rPr>
        <w:t>14.2.3</w:t>
      </w:r>
      <w:r>
        <w:rPr>
          <w:rFonts w:ascii="宋体" w:hAnsi="宋体" w:cs="Arial"/>
          <w:sz w:val="24"/>
          <w:lang w:val="zh-CN"/>
        </w:rPr>
        <w:t>用符合规格、质量和性能要求的新零件、部件或货物来更换有缺陷的部分或修补缺陷部分，乙方应承担一切费用和风险，并负担甲方所发生的一切直接费用。同时，乙方应相应延长修补或更换件的履约保证期。</w:t>
      </w:r>
    </w:p>
    <w:p w14:paraId="14C06CD8">
      <w:pPr>
        <w:autoSpaceDE w:val="0"/>
        <w:autoSpaceDN w:val="0"/>
        <w:spacing w:line="360" w:lineRule="auto"/>
        <w:rPr>
          <w:rFonts w:ascii="宋体" w:hAnsi="宋体" w:cs="Arial"/>
          <w:sz w:val="24"/>
        </w:rPr>
      </w:pPr>
      <w:r>
        <w:rPr>
          <w:rFonts w:ascii="宋体" w:hAnsi="宋体" w:cs="Arial"/>
          <w:sz w:val="24"/>
        </w:rPr>
        <w:t>14.3</w:t>
      </w:r>
      <w:r>
        <w:rPr>
          <w:rFonts w:ascii="宋体" w:hAnsi="宋体" w:cs="Arial"/>
          <w:sz w:val="24"/>
          <w:lang w:val="zh-CN"/>
        </w:rPr>
        <w:t>乙方收到甲方发出的索赔通知之日起</w:t>
      </w:r>
      <w:r>
        <w:rPr>
          <w:rFonts w:ascii="宋体" w:hAnsi="宋体" w:cs="Arial"/>
          <w:sz w:val="24"/>
        </w:rPr>
        <w:t>5</w:t>
      </w:r>
      <w:r>
        <w:rPr>
          <w:rFonts w:ascii="宋体" w:hAnsi="宋体" w:cs="Arial"/>
          <w:sz w:val="24"/>
          <w:lang w:val="zh-CN"/>
        </w:rPr>
        <w:t>个工作日内未作答复的，甲方可从合同款或履约保证金中扣回索赔金额，如金额不足以补偿索赔金额，乙方应补足差额部分。</w:t>
      </w:r>
    </w:p>
    <w:p w14:paraId="62BB53E1">
      <w:pPr>
        <w:autoSpaceDE w:val="0"/>
        <w:autoSpaceDN w:val="0"/>
        <w:spacing w:line="360" w:lineRule="auto"/>
        <w:outlineLvl w:val="2"/>
        <w:rPr>
          <w:rFonts w:ascii="宋体" w:hAnsi="宋体" w:cs="Arial"/>
          <w:b/>
          <w:bCs/>
          <w:sz w:val="24"/>
        </w:rPr>
      </w:pPr>
      <w:bookmarkStart w:id="349" w:name="_Toc31621"/>
      <w:r>
        <w:rPr>
          <w:rFonts w:ascii="宋体" w:hAnsi="宋体" w:cs="Arial"/>
          <w:b/>
          <w:bCs/>
          <w:sz w:val="24"/>
        </w:rPr>
        <w:t>15.</w:t>
      </w:r>
      <w:r>
        <w:rPr>
          <w:rFonts w:ascii="宋体" w:hAnsi="宋体" w:cs="Arial"/>
          <w:b/>
          <w:bCs/>
          <w:sz w:val="24"/>
          <w:lang w:val="zh-CN"/>
        </w:rPr>
        <w:t>迟延交货</w:t>
      </w:r>
      <w:bookmarkEnd w:id="349"/>
    </w:p>
    <w:p w14:paraId="2866EBE9">
      <w:pPr>
        <w:autoSpaceDE w:val="0"/>
        <w:autoSpaceDN w:val="0"/>
        <w:spacing w:line="360" w:lineRule="auto"/>
        <w:rPr>
          <w:rFonts w:ascii="宋体" w:hAnsi="宋体" w:cs="Arial"/>
          <w:sz w:val="24"/>
        </w:rPr>
      </w:pPr>
      <w:r>
        <w:rPr>
          <w:rFonts w:ascii="宋体" w:hAnsi="宋体" w:cs="Arial"/>
          <w:sz w:val="24"/>
        </w:rPr>
        <w:t>15.1</w:t>
      </w:r>
      <w:r>
        <w:rPr>
          <w:rFonts w:ascii="宋体" w:hAnsi="宋体" w:cs="Arial"/>
          <w:sz w:val="24"/>
          <w:lang w:val="zh-CN"/>
        </w:rPr>
        <w:t>乙方应按照合同约定的时间交货和提供服务。</w:t>
      </w:r>
    </w:p>
    <w:p w14:paraId="73953838">
      <w:pPr>
        <w:autoSpaceDE w:val="0"/>
        <w:autoSpaceDN w:val="0"/>
        <w:spacing w:line="360" w:lineRule="auto"/>
        <w:rPr>
          <w:rFonts w:ascii="宋体" w:hAnsi="宋体" w:cs="Arial"/>
          <w:sz w:val="24"/>
        </w:rPr>
      </w:pPr>
      <w:r>
        <w:rPr>
          <w:rFonts w:ascii="宋体" w:hAnsi="宋体" w:cs="Arial"/>
          <w:sz w:val="24"/>
        </w:rPr>
        <w:t>15.2</w:t>
      </w:r>
      <w:r>
        <w:rPr>
          <w:rFonts w:ascii="宋体" w:hAnsi="宋体" w:cs="Arial"/>
          <w:sz w:val="24"/>
          <w:lang w:val="zh-CN"/>
        </w:rPr>
        <w:t>除不可抗力因素外，乙方迟延交货，甲方有权提出违约损失赔偿或解除合同。</w:t>
      </w:r>
    </w:p>
    <w:p w14:paraId="01F63E08">
      <w:pPr>
        <w:autoSpaceDE w:val="0"/>
        <w:autoSpaceDN w:val="0"/>
        <w:spacing w:line="360" w:lineRule="auto"/>
        <w:rPr>
          <w:rFonts w:ascii="宋体" w:hAnsi="宋体" w:cs="Arial"/>
          <w:sz w:val="24"/>
        </w:rPr>
      </w:pPr>
      <w:r>
        <w:rPr>
          <w:rFonts w:ascii="宋体" w:hAnsi="宋体" w:cs="Arial"/>
          <w:sz w:val="24"/>
        </w:rPr>
        <w:t>15.3</w:t>
      </w:r>
      <w:r>
        <w:rPr>
          <w:rFonts w:ascii="宋体" w:hAnsi="宋体" w:cs="Arial"/>
          <w:sz w:val="24"/>
          <w:lang w:val="zh-CN"/>
        </w:rPr>
        <w:t>在履行合同过程中，乙方遇到不能按时交货和提供服务的情况，应及时以书面形式将不能按时交货的理由、预期延误时间通知甲方。甲方收到乙方通知后，认为其理由正当的，可酌情延长交货时间。</w:t>
      </w:r>
    </w:p>
    <w:p w14:paraId="040455A0">
      <w:pPr>
        <w:autoSpaceDE w:val="0"/>
        <w:autoSpaceDN w:val="0"/>
        <w:spacing w:line="360" w:lineRule="auto"/>
        <w:outlineLvl w:val="2"/>
        <w:rPr>
          <w:rFonts w:ascii="宋体" w:hAnsi="宋体" w:cs="Arial"/>
          <w:b/>
          <w:bCs/>
          <w:sz w:val="24"/>
        </w:rPr>
      </w:pPr>
      <w:bookmarkStart w:id="350" w:name="_Toc15286"/>
      <w:r>
        <w:rPr>
          <w:rFonts w:ascii="宋体" w:hAnsi="宋体" w:cs="Arial"/>
          <w:b/>
          <w:bCs/>
          <w:sz w:val="24"/>
        </w:rPr>
        <w:t>16.</w:t>
      </w:r>
      <w:r>
        <w:rPr>
          <w:rFonts w:ascii="宋体" w:hAnsi="宋体" w:cs="Arial"/>
          <w:b/>
          <w:bCs/>
          <w:sz w:val="24"/>
          <w:lang w:val="zh-CN"/>
        </w:rPr>
        <w:t>违约赔偿</w:t>
      </w:r>
      <w:bookmarkEnd w:id="350"/>
    </w:p>
    <w:p w14:paraId="3274EAA6">
      <w:pPr>
        <w:autoSpaceDE w:val="0"/>
        <w:autoSpaceDN w:val="0"/>
        <w:spacing w:line="360" w:lineRule="auto"/>
        <w:rPr>
          <w:rFonts w:ascii="宋体" w:hAnsi="宋体" w:cs="Arial"/>
          <w:sz w:val="24"/>
        </w:rPr>
      </w:pPr>
      <w:r>
        <w:rPr>
          <w:rFonts w:ascii="宋体" w:hAnsi="宋体" w:cs="Arial"/>
          <w:sz w:val="24"/>
          <w:lang w:val="zh-CN"/>
        </w:rPr>
        <w:t>除不可抗力因素外，乙方没有按照合同规定的时间交货和提供服务，甲方可要求乙方支付违约金。违约金每日按合同总价款的千分之五计收。</w:t>
      </w:r>
    </w:p>
    <w:p w14:paraId="5CB6B710">
      <w:pPr>
        <w:autoSpaceDE w:val="0"/>
        <w:autoSpaceDN w:val="0"/>
        <w:spacing w:line="360" w:lineRule="auto"/>
        <w:outlineLvl w:val="2"/>
        <w:rPr>
          <w:rFonts w:ascii="宋体" w:hAnsi="宋体" w:cs="Arial"/>
          <w:b/>
          <w:bCs/>
          <w:sz w:val="24"/>
        </w:rPr>
      </w:pPr>
      <w:bookmarkStart w:id="351" w:name="_Toc21525"/>
      <w:r>
        <w:rPr>
          <w:rFonts w:ascii="宋体" w:hAnsi="宋体" w:cs="Arial"/>
          <w:b/>
          <w:bCs/>
          <w:sz w:val="24"/>
        </w:rPr>
        <w:t>17.</w:t>
      </w:r>
      <w:r>
        <w:rPr>
          <w:rFonts w:ascii="宋体" w:hAnsi="宋体" w:cs="Arial"/>
          <w:b/>
          <w:bCs/>
          <w:sz w:val="24"/>
          <w:lang w:val="zh-CN"/>
        </w:rPr>
        <w:t>不可抗力</w:t>
      </w:r>
      <w:bookmarkEnd w:id="351"/>
    </w:p>
    <w:p w14:paraId="1A8F07C4">
      <w:pPr>
        <w:autoSpaceDE w:val="0"/>
        <w:autoSpaceDN w:val="0"/>
        <w:spacing w:line="360" w:lineRule="auto"/>
        <w:rPr>
          <w:rFonts w:ascii="宋体" w:hAnsi="宋体" w:cs="Arial"/>
          <w:sz w:val="24"/>
        </w:rPr>
      </w:pPr>
      <w:r>
        <w:rPr>
          <w:rFonts w:ascii="宋体" w:hAnsi="宋体" w:cs="Arial"/>
          <w:sz w:val="24"/>
        </w:rPr>
        <w:t>17.1</w:t>
      </w:r>
      <w:r>
        <w:rPr>
          <w:rFonts w:ascii="宋体" w:hAnsi="宋体" w:cs="Arial"/>
          <w:sz w:val="24"/>
          <w:lang w:val="zh-CN"/>
        </w:rPr>
        <w:t>双方中任何一方遭遇法律规定的不可抗力，致使合同履行受阻时，履行合同的期限应予延长，延长的期限应相当于不可抗力所影响的时间。</w:t>
      </w:r>
    </w:p>
    <w:p w14:paraId="0C692354">
      <w:pPr>
        <w:autoSpaceDE w:val="0"/>
        <w:autoSpaceDN w:val="0"/>
        <w:spacing w:line="360" w:lineRule="auto"/>
        <w:rPr>
          <w:rFonts w:ascii="宋体" w:hAnsi="宋体" w:cs="Arial"/>
          <w:sz w:val="24"/>
        </w:rPr>
      </w:pPr>
      <w:r>
        <w:rPr>
          <w:rFonts w:ascii="宋体" w:hAnsi="宋体" w:cs="Arial"/>
          <w:sz w:val="24"/>
        </w:rPr>
        <w:t>17.2</w:t>
      </w:r>
      <w:r>
        <w:rPr>
          <w:rFonts w:ascii="宋体" w:hAnsi="宋体" w:cs="Arial"/>
          <w:sz w:val="24"/>
          <w:lang w:val="zh-CN"/>
        </w:rPr>
        <w:t>受事故影响的一方应在不可抗力的事故发生后以书面形式通知另一方。</w:t>
      </w:r>
    </w:p>
    <w:p w14:paraId="7EF4482C">
      <w:pPr>
        <w:autoSpaceDE w:val="0"/>
        <w:autoSpaceDN w:val="0"/>
        <w:spacing w:line="360" w:lineRule="auto"/>
        <w:rPr>
          <w:rFonts w:ascii="宋体" w:hAnsi="宋体" w:cs="Arial"/>
          <w:sz w:val="24"/>
        </w:rPr>
      </w:pPr>
      <w:r>
        <w:rPr>
          <w:rFonts w:ascii="宋体" w:hAnsi="宋体" w:cs="Arial"/>
          <w:sz w:val="24"/>
        </w:rPr>
        <w:t>17.3</w:t>
      </w:r>
      <w:r>
        <w:rPr>
          <w:rFonts w:ascii="宋体" w:hAnsi="宋体" w:cs="Arial"/>
          <w:sz w:val="24"/>
          <w:lang w:val="zh-CN"/>
        </w:rPr>
        <w:t>不可抗力使合同的某些内容有变更必要的，双方应通过协商达成进一步履行合同的协议，因不可抗力致使合同不能履行的，合同终止。</w:t>
      </w:r>
    </w:p>
    <w:p w14:paraId="6C5E4CCA">
      <w:pPr>
        <w:autoSpaceDE w:val="0"/>
        <w:autoSpaceDN w:val="0"/>
        <w:spacing w:line="360" w:lineRule="auto"/>
        <w:outlineLvl w:val="2"/>
        <w:rPr>
          <w:rFonts w:ascii="宋体" w:hAnsi="宋体" w:cs="Arial"/>
          <w:b/>
          <w:bCs/>
          <w:sz w:val="24"/>
        </w:rPr>
      </w:pPr>
      <w:bookmarkStart w:id="352" w:name="_Toc7764"/>
      <w:r>
        <w:rPr>
          <w:rFonts w:ascii="宋体" w:hAnsi="宋体" w:cs="Arial"/>
          <w:b/>
          <w:bCs/>
          <w:sz w:val="24"/>
        </w:rPr>
        <w:t>18.</w:t>
      </w:r>
      <w:r>
        <w:rPr>
          <w:rFonts w:ascii="宋体" w:hAnsi="宋体" w:cs="Arial"/>
          <w:b/>
          <w:bCs/>
          <w:sz w:val="24"/>
          <w:lang w:val="zh-CN"/>
        </w:rPr>
        <w:t>税费</w:t>
      </w:r>
      <w:bookmarkEnd w:id="352"/>
    </w:p>
    <w:p w14:paraId="406ACFE1">
      <w:pPr>
        <w:autoSpaceDE w:val="0"/>
        <w:autoSpaceDN w:val="0"/>
        <w:spacing w:line="360" w:lineRule="auto"/>
        <w:rPr>
          <w:rFonts w:ascii="宋体" w:hAnsi="宋体" w:cs="Arial"/>
          <w:sz w:val="24"/>
        </w:rPr>
      </w:pPr>
      <w:r>
        <w:rPr>
          <w:rFonts w:ascii="宋体" w:hAnsi="宋体" w:cs="Arial"/>
          <w:sz w:val="24"/>
          <w:lang w:val="zh-CN"/>
        </w:rPr>
        <w:t>与本合同有关的一切税费均由乙方承担。</w:t>
      </w:r>
    </w:p>
    <w:p w14:paraId="2BE0A958">
      <w:pPr>
        <w:autoSpaceDE w:val="0"/>
        <w:autoSpaceDN w:val="0"/>
        <w:spacing w:line="360" w:lineRule="auto"/>
        <w:outlineLvl w:val="2"/>
        <w:rPr>
          <w:rFonts w:ascii="宋体" w:hAnsi="宋体" w:cs="Arial"/>
          <w:b/>
          <w:bCs/>
          <w:sz w:val="24"/>
        </w:rPr>
      </w:pPr>
      <w:bookmarkStart w:id="353" w:name="_Toc27383"/>
      <w:r>
        <w:rPr>
          <w:rFonts w:ascii="宋体" w:hAnsi="宋体" w:cs="Arial"/>
          <w:b/>
          <w:bCs/>
          <w:sz w:val="24"/>
        </w:rPr>
        <w:t>19.</w:t>
      </w:r>
      <w:r>
        <w:rPr>
          <w:rFonts w:ascii="宋体" w:hAnsi="宋体" w:cs="Arial"/>
          <w:b/>
          <w:bCs/>
          <w:sz w:val="24"/>
          <w:lang w:val="zh-CN"/>
        </w:rPr>
        <w:t>合同争议的解决</w:t>
      </w:r>
      <w:bookmarkEnd w:id="353"/>
    </w:p>
    <w:p w14:paraId="5F1D379C">
      <w:pPr>
        <w:autoSpaceDE w:val="0"/>
        <w:autoSpaceDN w:val="0"/>
        <w:spacing w:line="360" w:lineRule="auto"/>
        <w:rPr>
          <w:rFonts w:ascii="宋体" w:hAnsi="宋体" w:cs="Arial"/>
          <w:sz w:val="24"/>
        </w:rPr>
      </w:pPr>
      <w:r>
        <w:rPr>
          <w:rFonts w:ascii="宋体" w:hAnsi="宋体" w:cs="Arial"/>
          <w:sz w:val="24"/>
        </w:rPr>
        <w:t>19.1</w:t>
      </w:r>
      <w:r>
        <w:rPr>
          <w:rFonts w:ascii="宋体" w:hAnsi="宋体" w:cs="Arial"/>
          <w:sz w:val="24"/>
          <w:lang w:val="zh-CN"/>
        </w:rPr>
        <w:t>甲方和乙方由于本合同的履行而发生任何争议时，双方可先通过协商解决。</w:t>
      </w:r>
    </w:p>
    <w:p w14:paraId="7F55EDDF">
      <w:pPr>
        <w:autoSpaceDE w:val="0"/>
        <w:autoSpaceDN w:val="0"/>
        <w:spacing w:line="360" w:lineRule="auto"/>
        <w:rPr>
          <w:rFonts w:ascii="宋体" w:hAnsi="宋体" w:cs="Arial"/>
          <w:sz w:val="24"/>
        </w:rPr>
      </w:pPr>
      <w:r>
        <w:rPr>
          <w:rFonts w:ascii="宋体" w:hAnsi="宋体" w:cs="Arial"/>
          <w:sz w:val="24"/>
        </w:rPr>
        <w:t>19.2</w:t>
      </w:r>
      <w:r>
        <w:rPr>
          <w:rFonts w:ascii="宋体" w:hAnsi="宋体" w:cs="Arial"/>
          <w:sz w:val="24"/>
          <w:lang w:val="zh-CN"/>
        </w:rPr>
        <w:t>任何一方不愿通过协商或通过协商仍不能解决争议，则双方中任何一方均应向甲方所在地人民法院起诉。</w:t>
      </w:r>
    </w:p>
    <w:p w14:paraId="2C4706CD">
      <w:pPr>
        <w:autoSpaceDE w:val="0"/>
        <w:autoSpaceDN w:val="0"/>
        <w:spacing w:line="360" w:lineRule="auto"/>
        <w:outlineLvl w:val="2"/>
        <w:rPr>
          <w:rFonts w:ascii="宋体" w:hAnsi="宋体" w:cs="Arial"/>
          <w:b/>
          <w:bCs/>
          <w:sz w:val="24"/>
        </w:rPr>
      </w:pPr>
      <w:bookmarkStart w:id="354" w:name="_Toc4766"/>
      <w:r>
        <w:rPr>
          <w:rFonts w:ascii="宋体" w:hAnsi="宋体" w:cs="Arial"/>
          <w:b/>
          <w:bCs/>
          <w:sz w:val="24"/>
        </w:rPr>
        <w:t>20.</w:t>
      </w:r>
      <w:r>
        <w:rPr>
          <w:rFonts w:ascii="宋体" w:hAnsi="宋体" w:cs="Arial"/>
          <w:b/>
          <w:bCs/>
          <w:sz w:val="24"/>
          <w:lang w:val="zh-CN"/>
        </w:rPr>
        <w:t>违约解除合同</w:t>
      </w:r>
      <w:bookmarkEnd w:id="354"/>
    </w:p>
    <w:p w14:paraId="41EDA1BB">
      <w:pPr>
        <w:autoSpaceDE w:val="0"/>
        <w:autoSpaceDN w:val="0"/>
        <w:spacing w:line="360" w:lineRule="auto"/>
        <w:rPr>
          <w:rFonts w:ascii="宋体" w:hAnsi="宋体" w:cs="Arial"/>
          <w:sz w:val="24"/>
        </w:rPr>
      </w:pPr>
      <w:r>
        <w:rPr>
          <w:rFonts w:ascii="宋体" w:hAnsi="宋体" w:cs="Arial"/>
          <w:sz w:val="24"/>
        </w:rPr>
        <w:t>20.1</w:t>
      </w:r>
      <w:r>
        <w:rPr>
          <w:rFonts w:ascii="宋体" w:hAnsi="宋体" w:cs="Arial"/>
          <w:sz w:val="24"/>
          <w:lang w:val="zh-CN"/>
        </w:rPr>
        <w:t>出现下列情形之一的，视为乙方违约。甲方可向乙方发出书面通知，部分或全部终止合同，同时保留向乙方索赔的权利。</w:t>
      </w:r>
    </w:p>
    <w:p w14:paraId="604C43FC">
      <w:pPr>
        <w:autoSpaceDE w:val="0"/>
        <w:autoSpaceDN w:val="0"/>
        <w:spacing w:line="360" w:lineRule="auto"/>
        <w:rPr>
          <w:rFonts w:ascii="宋体" w:hAnsi="宋体" w:cs="Arial"/>
          <w:sz w:val="24"/>
        </w:rPr>
      </w:pPr>
      <w:r>
        <w:rPr>
          <w:rFonts w:ascii="宋体" w:hAnsi="宋体" w:cs="Arial"/>
          <w:sz w:val="24"/>
        </w:rPr>
        <w:t>20.1.1</w:t>
      </w:r>
      <w:r>
        <w:rPr>
          <w:rFonts w:ascii="宋体" w:hAnsi="宋体" w:cs="Arial"/>
          <w:sz w:val="24"/>
          <w:lang w:val="zh-CN"/>
        </w:rPr>
        <w:t>乙方未能在合同规定的限期或甲方同意延长的限期内，提供全部或部分货物的；</w:t>
      </w:r>
    </w:p>
    <w:p w14:paraId="2153A0F7">
      <w:pPr>
        <w:autoSpaceDE w:val="0"/>
        <w:autoSpaceDN w:val="0"/>
        <w:spacing w:line="360" w:lineRule="auto"/>
        <w:rPr>
          <w:rFonts w:ascii="宋体" w:hAnsi="宋体" w:cs="Arial"/>
          <w:sz w:val="24"/>
        </w:rPr>
      </w:pPr>
      <w:r>
        <w:rPr>
          <w:rFonts w:ascii="宋体" w:hAnsi="宋体" w:cs="Arial"/>
          <w:sz w:val="24"/>
        </w:rPr>
        <w:t>20.1.2</w:t>
      </w:r>
      <w:r>
        <w:rPr>
          <w:rFonts w:ascii="宋体" w:hAnsi="宋体" w:cs="Arial"/>
          <w:sz w:val="24"/>
          <w:lang w:val="zh-CN"/>
        </w:rPr>
        <w:t>乙方未能履行合同规定的其它主要义务的；</w:t>
      </w:r>
    </w:p>
    <w:p w14:paraId="6DDF0DA4">
      <w:pPr>
        <w:autoSpaceDE w:val="0"/>
        <w:autoSpaceDN w:val="0"/>
        <w:spacing w:line="360" w:lineRule="auto"/>
        <w:rPr>
          <w:rFonts w:ascii="宋体" w:hAnsi="宋体" w:cs="Arial"/>
          <w:sz w:val="24"/>
        </w:rPr>
      </w:pPr>
      <w:r>
        <w:rPr>
          <w:rFonts w:ascii="宋体" w:hAnsi="宋体" w:cs="Arial"/>
          <w:sz w:val="24"/>
        </w:rPr>
        <w:t>20.1.3</w:t>
      </w:r>
      <w:r>
        <w:rPr>
          <w:rFonts w:ascii="宋体" w:hAnsi="宋体" w:cs="Arial"/>
          <w:sz w:val="24"/>
          <w:lang w:val="zh-CN"/>
        </w:rPr>
        <w:t>乙方在本合同履行过程中有欺诈行为的。</w:t>
      </w:r>
    </w:p>
    <w:p w14:paraId="46C95D15">
      <w:pPr>
        <w:autoSpaceDE w:val="0"/>
        <w:autoSpaceDN w:val="0"/>
        <w:spacing w:line="360" w:lineRule="auto"/>
        <w:rPr>
          <w:rFonts w:ascii="宋体" w:hAnsi="宋体" w:cs="Arial"/>
          <w:sz w:val="24"/>
        </w:rPr>
      </w:pPr>
      <w:r>
        <w:rPr>
          <w:rFonts w:ascii="宋体" w:hAnsi="宋体" w:cs="Arial"/>
          <w:sz w:val="24"/>
        </w:rPr>
        <w:t>20.2</w:t>
      </w:r>
      <w:r>
        <w:rPr>
          <w:rFonts w:ascii="宋体" w:hAnsi="宋体" w:cs="Arial"/>
          <w:sz w:val="24"/>
          <w:lang w:val="zh-CN"/>
        </w:rPr>
        <w:t>甲方全部或部分解除合同之后，应当遵循诚实信用原则购买与未交付的货物类似的货物或服务，乙方应承担买方购买类似货物或服务而产生的额外支出。部分解除合同的，乙方应继续履行合同中未解除的部分。</w:t>
      </w:r>
    </w:p>
    <w:p w14:paraId="06D11E42">
      <w:pPr>
        <w:autoSpaceDE w:val="0"/>
        <w:autoSpaceDN w:val="0"/>
        <w:spacing w:line="360" w:lineRule="auto"/>
        <w:outlineLvl w:val="2"/>
        <w:rPr>
          <w:rFonts w:ascii="宋体" w:hAnsi="宋体" w:cs="Arial"/>
          <w:b/>
          <w:bCs/>
          <w:sz w:val="24"/>
        </w:rPr>
      </w:pPr>
      <w:bookmarkStart w:id="355" w:name="_Toc1002"/>
      <w:r>
        <w:rPr>
          <w:rFonts w:ascii="宋体" w:hAnsi="宋体" w:cs="Arial"/>
          <w:b/>
          <w:bCs/>
          <w:sz w:val="24"/>
        </w:rPr>
        <w:t>21.</w:t>
      </w:r>
      <w:r>
        <w:rPr>
          <w:rFonts w:ascii="宋体" w:hAnsi="宋体" w:cs="Arial"/>
          <w:b/>
          <w:bCs/>
          <w:sz w:val="24"/>
          <w:lang w:val="zh-CN"/>
        </w:rPr>
        <w:t>破产终止合同</w:t>
      </w:r>
      <w:bookmarkEnd w:id="355"/>
    </w:p>
    <w:p w14:paraId="45FD3877">
      <w:pPr>
        <w:autoSpaceDE w:val="0"/>
        <w:autoSpaceDN w:val="0"/>
        <w:spacing w:line="360" w:lineRule="auto"/>
        <w:rPr>
          <w:rFonts w:ascii="宋体" w:hAnsi="宋体" w:cs="Arial"/>
          <w:sz w:val="24"/>
        </w:rPr>
      </w:pPr>
      <w:r>
        <w:rPr>
          <w:rFonts w:ascii="宋体" w:hAnsi="宋体" w:cs="Arial"/>
          <w:sz w:val="24"/>
          <w:lang w:val="zh-CN"/>
        </w:rPr>
        <w:t>乙方破产而无法完全履行本合同义务时，甲方可以书面方式通知乙方终止合同而不给予乙方补偿。该合同的终止将不损害或不影响甲方已经采取或将要采取任何行动或补救措施的权利。</w:t>
      </w:r>
    </w:p>
    <w:p w14:paraId="4B54455A">
      <w:pPr>
        <w:autoSpaceDE w:val="0"/>
        <w:autoSpaceDN w:val="0"/>
        <w:spacing w:line="360" w:lineRule="auto"/>
        <w:outlineLvl w:val="2"/>
        <w:rPr>
          <w:rFonts w:ascii="宋体" w:hAnsi="宋体" w:cs="Arial"/>
          <w:b/>
          <w:bCs/>
          <w:sz w:val="24"/>
        </w:rPr>
      </w:pPr>
      <w:bookmarkStart w:id="356" w:name="_Toc1137"/>
      <w:r>
        <w:rPr>
          <w:rFonts w:ascii="宋体" w:hAnsi="宋体" w:cs="Arial"/>
          <w:b/>
          <w:bCs/>
          <w:sz w:val="24"/>
        </w:rPr>
        <w:t>22.</w:t>
      </w:r>
      <w:r>
        <w:rPr>
          <w:rFonts w:ascii="宋体" w:hAnsi="宋体" w:cs="Arial"/>
          <w:b/>
          <w:bCs/>
          <w:sz w:val="24"/>
          <w:lang w:val="zh-CN"/>
        </w:rPr>
        <w:t>转让和分包</w:t>
      </w:r>
      <w:bookmarkEnd w:id="356"/>
    </w:p>
    <w:p w14:paraId="1426E73F">
      <w:pPr>
        <w:autoSpaceDE w:val="0"/>
        <w:autoSpaceDN w:val="0"/>
        <w:spacing w:line="360" w:lineRule="auto"/>
        <w:rPr>
          <w:rFonts w:ascii="宋体" w:hAnsi="宋体" w:cs="Arial"/>
          <w:sz w:val="24"/>
        </w:rPr>
      </w:pPr>
      <w:r>
        <w:rPr>
          <w:rFonts w:ascii="宋体" w:hAnsi="宋体" w:cs="Arial"/>
          <w:sz w:val="24"/>
        </w:rPr>
        <w:t>22.1</w:t>
      </w:r>
      <w:r>
        <w:rPr>
          <w:rFonts w:ascii="宋体" w:hAnsi="宋体" w:cs="Arial"/>
          <w:sz w:val="24"/>
          <w:lang w:val="zh-CN"/>
        </w:rPr>
        <w:t>政府采购合同不能转让。</w:t>
      </w:r>
    </w:p>
    <w:p w14:paraId="0BABF2D3">
      <w:pPr>
        <w:autoSpaceDE w:val="0"/>
        <w:autoSpaceDN w:val="0"/>
        <w:spacing w:line="360" w:lineRule="auto"/>
        <w:rPr>
          <w:rFonts w:ascii="宋体" w:hAnsi="宋体" w:cs="Arial"/>
          <w:sz w:val="24"/>
        </w:rPr>
      </w:pPr>
      <w:r>
        <w:rPr>
          <w:rFonts w:ascii="宋体" w:hAnsi="宋体" w:cs="Arial"/>
          <w:sz w:val="24"/>
        </w:rPr>
        <w:t>22.2</w:t>
      </w:r>
      <w:r>
        <w:rPr>
          <w:rFonts w:ascii="宋体" w:hAnsi="宋体" w:cs="Arial"/>
          <w:sz w:val="24"/>
          <w:lang w:val="zh-CN"/>
        </w:rPr>
        <w:t>经甲方书面同意乙方可以将合同条款下非主体、非关键性工作分包给他人完成。接受分包的人应当具备相应的资格条件，并不得再次分包。分包后不能解除卖方履行本合同的责任和义务，接受分包的人与乙方共同对甲方连带承担合同的责任和义务。</w:t>
      </w:r>
    </w:p>
    <w:p w14:paraId="3CCBFDE0">
      <w:pPr>
        <w:autoSpaceDE w:val="0"/>
        <w:autoSpaceDN w:val="0"/>
        <w:spacing w:line="360" w:lineRule="auto"/>
        <w:outlineLvl w:val="2"/>
        <w:rPr>
          <w:rFonts w:ascii="宋体" w:hAnsi="宋体" w:cs="Arial"/>
          <w:b/>
          <w:bCs/>
          <w:sz w:val="24"/>
        </w:rPr>
      </w:pPr>
      <w:bookmarkStart w:id="357" w:name="_Toc7689"/>
      <w:r>
        <w:rPr>
          <w:rFonts w:ascii="宋体" w:hAnsi="宋体" w:cs="Arial"/>
          <w:b/>
          <w:bCs/>
          <w:sz w:val="24"/>
        </w:rPr>
        <w:t>23.</w:t>
      </w:r>
      <w:r>
        <w:rPr>
          <w:rFonts w:ascii="宋体" w:hAnsi="宋体" w:cs="Arial"/>
          <w:b/>
          <w:bCs/>
          <w:sz w:val="24"/>
          <w:lang w:val="zh-CN"/>
        </w:rPr>
        <w:t>合同修改</w:t>
      </w:r>
      <w:bookmarkEnd w:id="357"/>
    </w:p>
    <w:p w14:paraId="1B0A576D">
      <w:pPr>
        <w:autoSpaceDE w:val="0"/>
        <w:autoSpaceDN w:val="0"/>
        <w:spacing w:line="360" w:lineRule="auto"/>
        <w:rPr>
          <w:rFonts w:ascii="宋体" w:hAnsi="宋体" w:cs="Arial"/>
          <w:sz w:val="24"/>
        </w:rPr>
      </w:pPr>
      <w:r>
        <w:rPr>
          <w:rFonts w:ascii="宋体" w:hAnsi="宋体" w:cs="Arial"/>
          <w:sz w:val="24"/>
          <w:lang w:val="zh-CN"/>
        </w:rPr>
        <w:t>甲方和乙方都不得擅自变更本合同，但合同继续履行将损害国家和社会公共利益的除外。如必须对合同条款进行改动时，当事人双方须共同签署书面文件，做为合同的补充。</w:t>
      </w:r>
    </w:p>
    <w:p w14:paraId="07FCCAF1">
      <w:pPr>
        <w:autoSpaceDE w:val="0"/>
        <w:autoSpaceDN w:val="0"/>
        <w:spacing w:line="360" w:lineRule="auto"/>
        <w:outlineLvl w:val="2"/>
        <w:rPr>
          <w:rFonts w:ascii="宋体" w:hAnsi="宋体" w:cs="Arial"/>
          <w:b/>
          <w:bCs/>
          <w:sz w:val="24"/>
        </w:rPr>
      </w:pPr>
      <w:bookmarkStart w:id="358" w:name="_Toc30311"/>
      <w:r>
        <w:rPr>
          <w:rFonts w:ascii="宋体" w:hAnsi="宋体" w:cs="Arial"/>
          <w:b/>
          <w:bCs/>
          <w:sz w:val="24"/>
        </w:rPr>
        <w:t>24.</w:t>
      </w:r>
      <w:r>
        <w:rPr>
          <w:rFonts w:ascii="宋体" w:hAnsi="宋体" w:cs="Arial"/>
          <w:b/>
          <w:bCs/>
          <w:sz w:val="24"/>
          <w:lang w:val="zh-CN"/>
        </w:rPr>
        <w:t>通知</w:t>
      </w:r>
      <w:bookmarkEnd w:id="358"/>
    </w:p>
    <w:p w14:paraId="4EEA5047">
      <w:pPr>
        <w:autoSpaceDE w:val="0"/>
        <w:autoSpaceDN w:val="0"/>
        <w:spacing w:line="360" w:lineRule="auto"/>
        <w:rPr>
          <w:rFonts w:ascii="宋体" w:hAnsi="宋体" w:cs="Arial"/>
          <w:sz w:val="24"/>
        </w:rPr>
      </w:pPr>
      <w:r>
        <w:rPr>
          <w:rFonts w:ascii="宋体" w:hAnsi="宋体" w:cs="Arial"/>
          <w:sz w:val="24"/>
          <w:lang w:val="zh-CN"/>
        </w:rPr>
        <w:t>本合同任何一方给另一方的通知，都应以书面形式发送，而另一方也应以书面形式确认并发送到对方明确的地址。</w:t>
      </w:r>
    </w:p>
    <w:p w14:paraId="242098FA">
      <w:pPr>
        <w:autoSpaceDE w:val="0"/>
        <w:autoSpaceDN w:val="0"/>
        <w:spacing w:line="360" w:lineRule="auto"/>
        <w:outlineLvl w:val="2"/>
        <w:rPr>
          <w:rFonts w:ascii="宋体" w:hAnsi="宋体" w:cs="Arial"/>
          <w:b/>
          <w:bCs/>
          <w:sz w:val="24"/>
        </w:rPr>
      </w:pPr>
      <w:bookmarkStart w:id="359" w:name="_Toc22987"/>
      <w:r>
        <w:rPr>
          <w:rFonts w:ascii="宋体" w:hAnsi="宋体" w:cs="Arial"/>
          <w:b/>
          <w:bCs/>
          <w:sz w:val="24"/>
        </w:rPr>
        <w:t>25.</w:t>
      </w:r>
      <w:r>
        <w:rPr>
          <w:rFonts w:ascii="宋体" w:hAnsi="宋体" w:cs="Arial"/>
          <w:b/>
          <w:bCs/>
          <w:sz w:val="24"/>
          <w:lang w:val="zh-CN"/>
        </w:rPr>
        <w:t>计量单位</w:t>
      </w:r>
      <w:bookmarkEnd w:id="359"/>
    </w:p>
    <w:p w14:paraId="047A93E3">
      <w:pPr>
        <w:autoSpaceDE w:val="0"/>
        <w:autoSpaceDN w:val="0"/>
        <w:spacing w:line="360" w:lineRule="auto"/>
        <w:rPr>
          <w:rFonts w:ascii="宋体" w:hAnsi="宋体" w:cs="Arial"/>
          <w:sz w:val="24"/>
        </w:rPr>
      </w:pPr>
      <w:r>
        <w:rPr>
          <w:rFonts w:ascii="宋体" w:hAnsi="宋体" w:cs="Arial"/>
          <w:sz w:val="24"/>
          <w:lang w:val="zh-CN"/>
        </w:rPr>
        <w:t>除技术规范中另有规定外</w:t>
      </w:r>
      <w:r>
        <w:rPr>
          <w:rFonts w:ascii="宋体" w:hAnsi="宋体" w:cs="Arial"/>
          <w:sz w:val="24"/>
        </w:rPr>
        <w:t>,</w:t>
      </w:r>
      <w:r>
        <w:rPr>
          <w:rFonts w:ascii="宋体" w:hAnsi="宋体" w:cs="Arial"/>
          <w:sz w:val="24"/>
          <w:lang w:val="zh-CN"/>
        </w:rPr>
        <w:t>计量单位均使用国家法定计量单位。</w:t>
      </w:r>
    </w:p>
    <w:p w14:paraId="7AC71860">
      <w:pPr>
        <w:autoSpaceDE w:val="0"/>
        <w:autoSpaceDN w:val="0"/>
        <w:spacing w:line="360" w:lineRule="auto"/>
        <w:outlineLvl w:val="2"/>
        <w:rPr>
          <w:rFonts w:ascii="宋体" w:hAnsi="宋体" w:cs="Arial"/>
          <w:b/>
          <w:bCs/>
          <w:sz w:val="24"/>
        </w:rPr>
      </w:pPr>
      <w:bookmarkStart w:id="360" w:name="_Toc5717"/>
      <w:r>
        <w:rPr>
          <w:rFonts w:ascii="宋体" w:hAnsi="宋体" w:cs="Arial"/>
          <w:b/>
          <w:bCs/>
          <w:sz w:val="24"/>
        </w:rPr>
        <w:t>26.</w:t>
      </w:r>
      <w:r>
        <w:rPr>
          <w:rFonts w:ascii="宋体" w:hAnsi="宋体" w:cs="Arial"/>
          <w:b/>
          <w:bCs/>
          <w:sz w:val="24"/>
          <w:lang w:val="zh-CN"/>
        </w:rPr>
        <w:t>适用法律</w:t>
      </w:r>
      <w:bookmarkEnd w:id="360"/>
    </w:p>
    <w:p w14:paraId="06B95A49">
      <w:pPr>
        <w:autoSpaceDE w:val="0"/>
        <w:autoSpaceDN w:val="0"/>
        <w:adjustRightInd w:val="0"/>
        <w:spacing w:line="296" w:lineRule="exact"/>
        <w:ind w:left="100" w:right="-20"/>
        <w:jc w:val="left"/>
        <w:rPr>
          <w:rFonts w:ascii="宋体" w:hAnsi="宋体" w:cs="微软雅黑"/>
          <w:kern w:val="0"/>
          <w:szCs w:val="21"/>
        </w:rPr>
      </w:pPr>
      <w:bookmarkStart w:id="361" w:name="_Toc437511467"/>
      <w:r>
        <w:rPr>
          <w:rFonts w:ascii="宋体" w:hAnsi="宋体" w:cs="Arial"/>
          <w:sz w:val="24"/>
          <w:lang w:val="zh-CN"/>
        </w:rPr>
        <w:t>本合同按照中华人民共和国的相关法律进行解释。</w:t>
      </w:r>
      <w:bookmarkEnd w:id="361"/>
    </w:p>
    <w:p w14:paraId="78C2F02E">
      <w:pPr>
        <w:pStyle w:val="24"/>
        <w:spacing w:before="0" w:after="0" w:line="360" w:lineRule="auto"/>
        <w:outlineLvl w:val="0"/>
        <w:rPr>
          <w:rFonts w:ascii="宋体" w:hAnsi="宋体"/>
        </w:rPr>
      </w:pPr>
      <w:r>
        <w:rPr>
          <w:rFonts w:ascii="宋体" w:hAnsi="宋体"/>
          <w:sz w:val="48"/>
        </w:rPr>
        <w:br w:type="page"/>
      </w:r>
      <w:bookmarkStart w:id="362" w:name="_Toc18166"/>
      <w:bookmarkStart w:id="363" w:name="_Toc26623"/>
      <w:bookmarkStart w:id="364" w:name="_Toc30194"/>
      <w:r>
        <w:rPr>
          <w:rFonts w:hint="eastAsia" w:ascii="宋体" w:hAnsi="宋体"/>
          <w:sz w:val="48"/>
        </w:rPr>
        <w:t>第四部分磋商响应文件格式</w:t>
      </w:r>
      <w:bookmarkEnd w:id="362"/>
      <w:bookmarkEnd w:id="363"/>
      <w:bookmarkEnd w:id="364"/>
    </w:p>
    <w:p w14:paraId="713FE319">
      <w:pPr>
        <w:pStyle w:val="4"/>
        <w:tabs>
          <w:tab w:val="left" w:pos="425"/>
        </w:tabs>
        <w:outlineLvl w:val="9"/>
        <w:rPr>
          <w:rFonts w:hAnsi="宋体"/>
          <w:b/>
          <w:sz w:val="32"/>
          <w:lang w:val="zh-CN"/>
        </w:rPr>
      </w:pPr>
    </w:p>
    <w:p w14:paraId="476DC6B8">
      <w:pPr>
        <w:spacing w:line="360" w:lineRule="auto"/>
        <w:rPr>
          <w:rFonts w:ascii="宋体" w:hAnsi="宋体"/>
          <w:sz w:val="32"/>
        </w:rPr>
      </w:pPr>
    </w:p>
    <w:p w14:paraId="3A36344F">
      <w:pPr>
        <w:spacing w:line="360" w:lineRule="auto"/>
        <w:rPr>
          <w:rFonts w:ascii="宋体" w:hAnsi="宋体"/>
          <w:sz w:val="32"/>
        </w:rPr>
      </w:pPr>
    </w:p>
    <w:p w14:paraId="67454ED5">
      <w:pPr>
        <w:spacing w:line="360" w:lineRule="auto"/>
        <w:jc w:val="center"/>
        <w:rPr>
          <w:rFonts w:ascii="宋体" w:hAnsi="宋体"/>
          <w:b/>
          <w:sz w:val="72"/>
        </w:rPr>
      </w:pPr>
    </w:p>
    <w:p w14:paraId="3E352EFA">
      <w:pPr>
        <w:spacing w:line="360" w:lineRule="auto"/>
        <w:jc w:val="center"/>
        <w:outlineLvl w:val="1"/>
        <w:rPr>
          <w:rFonts w:ascii="宋体" w:hAnsi="宋体"/>
          <w:b/>
          <w:sz w:val="96"/>
        </w:rPr>
      </w:pPr>
      <w:bookmarkStart w:id="365" w:name="_Toc27355"/>
      <w:r>
        <w:rPr>
          <w:rFonts w:hint="eastAsia" w:ascii="宋体" w:hAnsi="宋体"/>
          <w:b/>
          <w:sz w:val="72"/>
        </w:rPr>
        <w:t>青海省政府采购项目</w:t>
      </w:r>
      <w:bookmarkEnd w:id="365"/>
    </w:p>
    <w:p w14:paraId="048AFD37">
      <w:pPr>
        <w:spacing w:line="360" w:lineRule="auto"/>
        <w:jc w:val="center"/>
        <w:rPr>
          <w:rFonts w:ascii="宋体" w:hAnsi="宋体"/>
          <w:b/>
          <w:sz w:val="48"/>
        </w:rPr>
      </w:pPr>
    </w:p>
    <w:p w14:paraId="35347AB0">
      <w:pPr>
        <w:spacing w:line="360" w:lineRule="auto"/>
        <w:jc w:val="center"/>
        <w:rPr>
          <w:rFonts w:ascii="宋体" w:hAnsi="宋体"/>
          <w:b/>
          <w:sz w:val="48"/>
        </w:rPr>
      </w:pPr>
    </w:p>
    <w:p w14:paraId="32F4BC45">
      <w:pPr>
        <w:spacing w:line="360" w:lineRule="auto"/>
        <w:jc w:val="center"/>
        <w:rPr>
          <w:rFonts w:ascii="宋体" w:hAnsi="宋体"/>
          <w:b/>
          <w:sz w:val="56"/>
        </w:rPr>
      </w:pPr>
      <w:r>
        <w:rPr>
          <w:rFonts w:hint="eastAsia" w:ascii="宋体" w:hAnsi="宋体"/>
          <w:b/>
          <w:sz w:val="52"/>
        </w:rPr>
        <w:t>磋商响应文件</w:t>
      </w:r>
    </w:p>
    <w:p w14:paraId="7FE11DA8">
      <w:pPr>
        <w:adjustRightInd w:val="0"/>
        <w:spacing w:line="360" w:lineRule="auto"/>
        <w:ind w:firstLine="643" w:firstLineChars="200"/>
        <w:textAlignment w:val="baseline"/>
        <w:rPr>
          <w:rFonts w:ascii="宋体" w:hAnsi="宋体"/>
          <w:b/>
          <w:bCs/>
          <w:sz w:val="32"/>
          <w:u w:val="single"/>
        </w:rPr>
      </w:pPr>
    </w:p>
    <w:p w14:paraId="78DEC9B1">
      <w:pPr>
        <w:pStyle w:val="17"/>
      </w:pPr>
    </w:p>
    <w:p w14:paraId="009C77DB">
      <w:pPr>
        <w:adjustRightInd w:val="0"/>
        <w:spacing w:line="360" w:lineRule="auto"/>
        <w:ind w:firstLine="643" w:firstLineChars="200"/>
        <w:textAlignment w:val="baseline"/>
        <w:rPr>
          <w:rFonts w:hint="default" w:ascii="宋体" w:hAnsi="宋体" w:eastAsia="宋体"/>
          <w:b/>
          <w:bCs/>
          <w:sz w:val="32"/>
          <w:szCs w:val="32"/>
          <w:u w:val="single"/>
          <w:lang w:val="en-US" w:eastAsia="zh-CN"/>
        </w:rPr>
      </w:pPr>
      <w:r>
        <w:rPr>
          <w:rFonts w:hint="eastAsia" w:ascii="宋体" w:hAnsi="宋体"/>
          <w:b/>
          <w:bCs/>
          <w:sz w:val="32"/>
          <w:szCs w:val="32"/>
        </w:rPr>
        <w:t>采购项目编号</w:t>
      </w:r>
      <w:r>
        <w:rPr>
          <w:rFonts w:hint="eastAsia" w:ascii="宋体" w:hAnsi="宋体"/>
          <w:sz w:val="32"/>
          <w:szCs w:val="32"/>
        </w:rPr>
        <w:t>：</w:t>
      </w:r>
      <w:r>
        <w:rPr>
          <w:rFonts w:hint="eastAsia" w:ascii="宋体" w:hAnsi="宋体"/>
          <w:sz w:val="32"/>
          <w:szCs w:val="32"/>
          <w:u w:val="single"/>
          <w:lang w:val="en-US" w:eastAsia="zh-CN"/>
        </w:rPr>
        <w:t xml:space="preserve">                             </w:t>
      </w:r>
    </w:p>
    <w:p w14:paraId="17E77177">
      <w:pPr>
        <w:adjustRightInd w:val="0"/>
        <w:spacing w:line="360" w:lineRule="auto"/>
        <w:ind w:firstLine="660"/>
        <w:textAlignment w:val="baseline"/>
        <w:rPr>
          <w:rFonts w:hint="default" w:ascii="宋体" w:hAnsi="宋体" w:eastAsia="宋体"/>
          <w:b/>
          <w:bCs/>
          <w:sz w:val="32"/>
          <w:szCs w:val="32"/>
          <w:u w:val="single"/>
          <w:lang w:val="en-US" w:eastAsia="zh-CN"/>
        </w:rPr>
      </w:pPr>
      <w:r>
        <w:rPr>
          <w:rFonts w:ascii="宋体" w:hAnsi="宋体"/>
          <w:b/>
          <w:bCs/>
          <w:sz w:val="32"/>
          <w:szCs w:val="32"/>
        </w:rPr>
        <w:t>采购项目名称</w:t>
      </w:r>
      <w:r>
        <w:rPr>
          <w:rFonts w:hint="eastAsia" w:ascii="宋体" w:hAnsi="宋体"/>
          <w:b/>
          <w:bCs/>
          <w:sz w:val="32"/>
          <w:szCs w:val="32"/>
        </w:rPr>
        <w:t>：</w:t>
      </w:r>
      <w:r>
        <w:rPr>
          <w:rFonts w:hint="eastAsia" w:ascii="宋体" w:hAnsi="宋体"/>
          <w:b/>
          <w:bCs/>
          <w:sz w:val="32"/>
          <w:szCs w:val="32"/>
          <w:u w:val="single"/>
          <w:lang w:val="en-US" w:eastAsia="zh-CN"/>
        </w:rPr>
        <w:t xml:space="preserve">                              </w:t>
      </w:r>
    </w:p>
    <w:p w14:paraId="2F6EA8FF">
      <w:pPr>
        <w:adjustRightInd w:val="0"/>
        <w:spacing w:line="360" w:lineRule="auto"/>
        <w:ind w:firstLine="643" w:firstLineChars="200"/>
        <w:textAlignment w:val="baseline"/>
        <w:rPr>
          <w:rFonts w:ascii="宋体" w:hAnsi="宋体"/>
          <w:b/>
          <w:bCs/>
          <w:sz w:val="32"/>
          <w:szCs w:val="32"/>
          <w:u w:val="single"/>
        </w:rPr>
      </w:pPr>
      <w:r>
        <w:rPr>
          <w:rFonts w:hint="eastAsia" w:ascii="宋体" w:hAnsi="宋体"/>
          <w:b/>
          <w:bCs/>
          <w:sz w:val="32"/>
          <w:szCs w:val="32"/>
        </w:rPr>
        <w:t>磋商供应商</w:t>
      </w:r>
      <w:r>
        <w:rPr>
          <w:rFonts w:hint="eastAsia" w:ascii="宋体" w:hAnsi="宋体"/>
          <w:b/>
          <w:sz w:val="32"/>
          <w:szCs w:val="32"/>
        </w:rPr>
        <w:t>：</w:t>
      </w:r>
      <w:r>
        <w:rPr>
          <w:rFonts w:hint="eastAsia" w:ascii="宋体" w:hAnsi="宋体"/>
          <w:b/>
          <w:sz w:val="32"/>
          <w:szCs w:val="32"/>
          <w:u w:val="single"/>
        </w:rPr>
        <w:t xml:space="preserve">                        （公章）</w:t>
      </w:r>
    </w:p>
    <w:p w14:paraId="60F9EF5E">
      <w:pPr>
        <w:adjustRightInd w:val="0"/>
        <w:spacing w:line="360" w:lineRule="auto"/>
        <w:ind w:firstLine="643" w:firstLineChars="200"/>
        <w:textAlignment w:val="baseline"/>
        <w:rPr>
          <w:rFonts w:hint="default" w:ascii="宋体" w:hAnsi="宋体" w:eastAsia="宋体"/>
          <w:b/>
          <w:sz w:val="32"/>
          <w:u w:val="single"/>
          <w:lang w:val="en-US" w:eastAsia="zh-CN"/>
        </w:rPr>
      </w:pPr>
      <w:r>
        <w:rPr>
          <w:rFonts w:hint="eastAsia" w:ascii="宋体" w:hAnsi="宋体"/>
          <w:b/>
          <w:sz w:val="32"/>
        </w:rPr>
        <w:t>法定代表人：</w:t>
      </w:r>
      <w:r>
        <w:rPr>
          <w:rFonts w:hint="eastAsia" w:ascii="宋体" w:hAnsi="宋体"/>
          <w:b/>
          <w:sz w:val="32"/>
          <w:u w:val="single"/>
        </w:rPr>
        <w:t>（签字或加盖法人章）</w:t>
      </w:r>
      <w:r>
        <w:rPr>
          <w:rFonts w:hint="eastAsia" w:ascii="宋体" w:hAnsi="宋体"/>
          <w:b/>
          <w:sz w:val="32"/>
          <w:u w:val="single"/>
          <w:lang w:val="en-US" w:eastAsia="zh-CN"/>
        </w:rPr>
        <w:t xml:space="preserve">            </w:t>
      </w:r>
    </w:p>
    <w:p w14:paraId="10AD2FFD">
      <w:pPr>
        <w:adjustRightInd w:val="0"/>
        <w:spacing w:line="360" w:lineRule="auto"/>
        <w:ind w:firstLine="643" w:firstLineChars="200"/>
        <w:textAlignment w:val="baseline"/>
        <w:rPr>
          <w:rFonts w:ascii="宋体" w:hAnsi="宋体"/>
          <w:b/>
          <w:sz w:val="32"/>
          <w:u w:val="single"/>
        </w:rPr>
      </w:pPr>
    </w:p>
    <w:p w14:paraId="05D133CF">
      <w:pPr>
        <w:spacing w:line="360" w:lineRule="auto"/>
        <w:jc w:val="center"/>
        <w:rPr>
          <w:rFonts w:ascii="宋体" w:hAnsi="宋体"/>
          <w:b/>
          <w:bCs/>
          <w:sz w:val="32"/>
        </w:rPr>
      </w:pPr>
      <w:r>
        <w:rPr>
          <w:rFonts w:hint="eastAsia" w:ascii="宋体" w:hAnsi="宋体"/>
          <w:b/>
          <w:bCs/>
          <w:sz w:val="32"/>
        </w:rPr>
        <w:t>年   月  日</w:t>
      </w:r>
      <w:bookmarkStart w:id="366" w:name="_Toc444715735"/>
    </w:p>
    <w:p w14:paraId="0DB01477">
      <w:pPr>
        <w:pStyle w:val="4"/>
        <w:tabs>
          <w:tab w:val="left" w:pos="425"/>
        </w:tabs>
        <w:ind w:left="709" w:hanging="709"/>
        <w:jc w:val="center"/>
        <w:rPr>
          <w:rFonts w:hAnsi="宋体"/>
          <w:b/>
          <w:sz w:val="32"/>
          <w:lang w:val="zh-CN"/>
        </w:rPr>
      </w:pPr>
      <w:r>
        <w:rPr>
          <w:rFonts w:hAnsi="宋体"/>
        </w:rPr>
        <w:br w:type="page"/>
      </w:r>
      <w:bookmarkStart w:id="367" w:name="_Toc10666"/>
      <w:bookmarkStart w:id="368" w:name="_Toc12158"/>
      <w:bookmarkStart w:id="369" w:name="_Toc18114"/>
      <w:bookmarkStart w:id="370" w:name="_Toc4525"/>
      <w:r>
        <w:rPr>
          <w:rFonts w:hint="eastAsia" w:hAnsi="宋体"/>
          <w:b/>
          <w:sz w:val="32"/>
          <w:lang w:val="zh-CN"/>
        </w:rPr>
        <w:t>磋商响应文件目录</w:t>
      </w:r>
      <w:bookmarkEnd w:id="366"/>
      <w:bookmarkEnd w:id="367"/>
      <w:bookmarkEnd w:id="368"/>
      <w:bookmarkEnd w:id="369"/>
      <w:bookmarkEnd w:id="370"/>
    </w:p>
    <w:p w14:paraId="03635E64">
      <w:pPr>
        <w:autoSpaceDE w:val="0"/>
        <w:autoSpaceDN w:val="0"/>
        <w:spacing w:line="360" w:lineRule="auto"/>
        <w:ind w:firstLine="240" w:firstLineChars="100"/>
        <w:jc w:val="left"/>
        <w:rPr>
          <w:rFonts w:ascii="宋体" w:hAnsi="宋体" w:cs="宋体"/>
          <w:kern w:val="0"/>
          <w:sz w:val="24"/>
          <w:lang w:val="zh-CN"/>
        </w:rPr>
      </w:pPr>
    </w:p>
    <w:p w14:paraId="5A50A6C6">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（1）</w:t>
      </w:r>
      <w:r>
        <w:rPr>
          <w:rFonts w:hint="eastAsia" w:ascii="宋体" w:hAnsi="宋体" w:cs="宋体"/>
          <w:kern w:val="0"/>
          <w:sz w:val="24"/>
        </w:rPr>
        <w:t>磋商</w:t>
      </w:r>
      <w:r>
        <w:rPr>
          <w:rFonts w:hint="eastAsia" w:ascii="宋体" w:hAnsi="宋体" w:cs="宋体"/>
          <w:kern w:val="0"/>
          <w:sz w:val="24"/>
          <w:lang w:val="zh-CN"/>
        </w:rPr>
        <w:t>函</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7139D716">
      <w:pPr>
        <w:autoSpaceDE w:val="0"/>
        <w:autoSpaceDN w:val="0"/>
        <w:spacing w:line="360" w:lineRule="auto"/>
        <w:ind w:firstLine="240" w:firstLineChars="100"/>
        <w:jc w:val="left"/>
        <w:outlineLvl w:val="1"/>
        <w:rPr>
          <w:rFonts w:ascii="宋体" w:hAnsi="宋体" w:cs="宋体"/>
          <w:kern w:val="0"/>
          <w:sz w:val="24"/>
          <w:lang w:val="zh-CN"/>
        </w:rPr>
      </w:pPr>
      <w:bookmarkStart w:id="371" w:name="_Toc2615"/>
      <w:r>
        <w:rPr>
          <w:rFonts w:hint="eastAsia" w:ascii="宋体" w:hAnsi="宋体" w:cs="宋体"/>
          <w:kern w:val="0"/>
          <w:sz w:val="24"/>
          <w:lang w:val="zh-CN"/>
        </w:rPr>
        <w:t>（</w:t>
      </w:r>
      <w:r>
        <w:rPr>
          <w:rFonts w:hint="eastAsia" w:ascii="宋体" w:hAnsi="宋体" w:cs="宋体"/>
          <w:kern w:val="0"/>
          <w:sz w:val="24"/>
        </w:rPr>
        <w:t>2</w:t>
      </w:r>
      <w:r>
        <w:rPr>
          <w:rFonts w:hint="eastAsia" w:ascii="宋体" w:hAnsi="宋体" w:cs="宋体"/>
          <w:kern w:val="0"/>
          <w:sz w:val="24"/>
          <w:lang w:val="zh-CN"/>
        </w:rPr>
        <w:t>）法定代表人证明书</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bookmarkEnd w:id="371"/>
    </w:p>
    <w:p w14:paraId="211DF443">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w:t>
      </w:r>
      <w:r>
        <w:rPr>
          <w:rFonts w:hint="eastAsia" w:ascii="宋体" w:hAnsi="宋体" w:cs="宋体"/>
          <w:kern w:val="0"/>
          <w:sz w:val="24"/>
        </w:rPr>
        <w:t>3</w:t>
      </w:r>
      <w:r>
        <w:rPr>
          <w:rFonts w:hint="eastAsia" w:ascii="宋体" w:hAnsi="宋体" w:cs="宋体"/>
          <w:kern w:val="0"/>
          <w:sz w:val="24"/>
          <w:lang w:val="zh-CN"/>
        </w:rPr>
        <w:t>）法定代表人授权书</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10D45568">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w:t>
      </w:r>
      <w:r>
        <w:rPr>
          <w:rFonts w:hint="eastAsia" w:ascii="宋体" w:hAnsi="宋体" w:cs="宋体"/>
          <w:kern w:val="0"/>
          <w:sz w:val="24"/>
        </w:rPr>
        <w:t>4</w:t>
      </w:r>
      <w:r>
        <w:rPr>
          <w:rFonts w:hint="eastAsia" w:ascii="宋体" w:hAnsi="宋体" w:cs="宋体"/>
          <w:kern w:val="0"/>
          <w:sz w:val="24"/>
          <w:lang w:val="zh-CN"/>
        </w:rPr>
        <w:t>）磋商供应商承诺书</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4229C272">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（5）供应商诚信承诺书</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75CE864D">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w:t>
      </w:r>
      <w:r>
        <w:rPr>
          <w:rFonts w:hint="eastAsia" w:ascii="宋体" w:hAnsi="宋体" w:cs="宋体"/>
          <w:kern w:val="0"/>
          <w:sz w:val="24"/>
        </w:rPr>
        <w:t>6</w:t>
      </w:r>
      <w:r>
        <w:rPr>
          <w:rFonts w:hint="eastAsia" w:ascii="宋体" w:hAnsi="宋体" w:cs="宋体"/>
          <w:kern w:val="0"/>
          <w:sz w:val="24"/>
          <w:lang w:val="zh-CN"/>
        </w:rPr>
        <w:t>）资格证明材料</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77197CF6">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w:t>
      </w:r>
      <w:r>
        <w:rPr>
          <w:rFonts w:hint="eastAsia" w:ascii="宋体" w:hAnsi="宋体" w:cs="宋体"/>
          <w:kern w:val="0"/>
          <w:sz w:val="24"/>
        </w:rPr>
        <w:t>7</w:t>
      </w:r>
      <w:r>
        <w:rPr>
          <w:rFonts w:hint="eastAsia" w:ascii="宋体" w:hAnsi="宋体" w:cs="宋体"/>
          <w:kern w:val="0"/>
          <w:sz w:val="24"/>
          <w:lang w:val="zh-CN"/>
        </w:rPr>
        <w:t>）财务状况、缴纳税收和社会保障资金证明</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7C02A217">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w:t>
      </w:r>
      <w:r>
        <w:rPr>
          <w:rFonts w:hint="eastAsia" w:ascii="宋体" w:hAnsi="宋体" w:cs="宋体"/>
          <w:kern w:val="0"/>
          <w:sz w:val="24"/>
        </w:rPr>
        <w:t>8</w:t>
      </w:r>
      <w:r>
        <w:rPr>
          <w:rFonts w:hint="eastAsia" w:ascii="宋体" w:hAnsi="宋体" w:cs="宋体"/>
          <w:kern w:val="0"/>
          <w:sz w:val="24"/>
          <w:lang w:val="zh-CN"/>
        </w:rPr>
        <w:t>）具备履行合同所必须的设备和专业技术能力证明</w:t>
      </w:r>
      <w:r>
        <w:rPr>
          <w:rFonts w:hint="eastAsia" w:ascii="宋体" w:hAnsi="宋体" w:cs="宋体"/>
          <w:kern w:val="0"/>
          <w:sz w:val="24"/>
          <w:lang w:val="en-US" w:eastAsia="zh-CN"/>
        </w:rPr>
        <w:t xml:space="preserve"> </w:t>
      </w:r>
      <w:r>
        <w:rPr>
          <w:rFonts w:hint="eastAsia" w:ascii="宋体" w:hAnsi="宋体" w:cs="宋体"/>
          <w:kern w:val="0"/>
          <w:sz w:val="24"/>
          <w:lang w:val="zh-CN"/>
        </w:rPr>
        <w:t>…………所在页码</w:t>
      </w:r>
    </w:p>
    <w:p w14:paraId="3D41D97C">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cs="宋体"/>
          <w:kern w:val="0"/>
          <w:sz w:val="24"/>
          <w:lang w:val="zh-CN"/>
        </w:rPr>
        <w:t>（</w:t>
      </w:r>
      <w:r>
        <w:rPr>
          <w:rFonts w:hint="eastAsia" w:ascii="宋体" w:hAnsi="宋体" w:eastAsia="宋体" w:cs="宋体"/>
          <w:kern w:val="0"/>
          <w:sz w:val="24"/>
          <w:lang w:val="zh-CN"/>
        </w:rPr>
        <w:t>9）无重大违法记录声明</w:t>
      </w:r>
      <w:r>
        <w:rPr>
          <w:rFonts w:hint="eastAsia" w:ascii="宋体" w:hAnsi="宋体" w:cs="宋体"/>
          <w:kern w:val="0"/>
          <w:sz w:val="24"/>
          <w:lang w:val="en-US" w:eastAsia="zh-CN"/>
        </w:rPr>
        <w:t xml:space="preserve"> </w:t>
      </w:r>
      <w:r>
        <w:rPr>
          <w:rFonts w:hint="eastAsia" w:ascii="宋体" w:hAnsi="宋体" w:eastAsia="宋体" w:cs="宋体"/>
          <w:kern w:val="0"/>
          <w:sz w:val="24"/>
          <w:lang w:val="zh-CN"/>
        </w:rPr>
        <w:t>…………………………………………所在页码</w:t>
      </w:r>
    </w:p>
    <w:p w14:paraId="5072066D">
      <w:pPr>
        <w:autoSpaceDE w:val="0"/>
        <w:autoSpaceDN w:val="0"/>
        <w:spacing w:line="360" w:lineRule="auto"/>
        <w:ind w:firstLine="240" w:firstLineChars="100"/>
        <w:jc w:val="left"/>
        <w:rPr>
          <w:rFonts w:hint="eastAsia" w:ascii="宋体" w:hAnsi="宋体" w:eastAsia="宋体" w:cs="宋体"/>
          <w:kern w:val="0"/>
          <w:sz w:val="24"/>
          <w:lang w:val="zh-CN" w:eastAsia="zh-CN"/>
        </w:rPr>
      </w:pPr>
      <w:r>
        <w:rPr>
          <w:rFonts w:hint="eastAsia" w:ascii="宋体" w:hAnsi="宋体" w:eastAsia="宋体" w:cs="宋体"/>
          <w:kern w:val="0"/>
          <w:sz w:val="24"/>
          <w:lang w:val="zh-CN"/>
        </w:rPr>
        <w:t>（</w:t>
      </w:r>
      <w:r>
        <w:rPr>
          <w:rFonts w:hint="eastAsia" w:ascii="宋体" w:hAnsi="宋体" w:eastAsia="宋体" w:cs="宋体"/>
          <w:kern w:val="0"/>
          <w:sz w:val="24"/>
          <w:lang w:val="en-US" w:eastAsia="zh-CN"/>
        </w:rPr>
        <w:t>10</w:t>
      </w:r>
      <w:r>
        <w:rPr>
          <w:rFonts w:hint="eastAsia" w:ascii="宋体" w:hAnsi="宋体" w:eastAsia="宋体" w:cs="宋体"/>
          <w:kern w:val="0"/>
          <w:sz w:val="24"/>
          <w:lang w:val="zh-CN"/>
        </w:rPr>
        <w:t>）</w:t>
      </w:r>
      <w:r>
        <w:rPr>
          <w:rFonts w:hint="eastAsia" w:ascii="宋体" w:hAnsi="宋体" w:eastAsia="宋体" w:cs="宋体"/>
          <w:kern w:val="0"/>
          <w:sz w:val="24"/>
          <w:lang w:val="zh-CN" w:eastAsia="zh-CN"/>
        </w:rPr>
        <w:t>磋商保证金证明</w:t>
      </w:r>
      <w:r>
        <w:rPr>
          <w:rFonts w:hint="eastAsia" w:ascii="宋体" w:hAnsi="宋体" w:eastAsia="宋体" w:cs="宋体"/>
          <w:kern w:val="0"/>
          <w:sz w:val="24"/>
          <w:lang w:val="zh-CN"/>
        </w:rPr>
        <w:t>…………………………………………</w:t>
      </w:r>
      <w:r>
        <w:rPr>
          <w:rFonts w:hint="eastAsia" w:ascii="宋体" w:hAnsi="宋体" w:cs="宋体"/>
          <w:kern w:val="0"/>
          <w:sz w:val="24"/>
          <w:lang w:val="zh-CN"/>
        </w:rPr>
        <w:t>……</w:t>
      </w:r>
      <w:r>
        <w:rPr>
          <w:rFonts w:hint="eastAsia" w:ascii="宋体" w:hAnsi="宋体" w:eastAsia="宋体" w:cs="宋体"/>
          <w:kern w:val="0"/>
          <w:sz w:val="24"/>
          <w:lang w:val="zh-CN"/>
        </w:rPr>
        <w:t>所在页码</w:t>
      </w:r>
    </w:p>
    <w:p w14:paraId="674B78AC">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r>
        <w:rPr>
          <w:rFonts w:hint="eastAsia" w:ascii="宋体" w:hAnsi="宋体" w:eastAsia="宋体" w:cs="宋体"/>
          <w:kern w:val="0"/>
          <w:sz w:val="24"/>
          <w:lang w:val="en-US" w:eastAsia="zh-CN"/>
        </w:rPr>
        <w:t>11</w:t>
      </w:r>
      <w:r>
        <w:rPr>
          <w:rFonts w:hint="eastAsia" w:ascii="宋体" w:hAnsi="宋体" w:eastAsia="宋体" w:cs="宋体"/>
          <w:kern w:val="0"/>
          <w:sz w:val="24"/>
          <w:lang w:val="zh-CN"/>
        </w:rPr>
        <w:t>) 评分对照表……………………………………………………所在页码</w:t>
      </w:r>
    </w:p>
    <w:p w14:paraId="280E94B2">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2</w:t>
      </w:r>
      <w:r>
        <w:rPr>
          <w:rFonts w:hint="eastAsia" w:ascii="宋体" w:hAnsi="宋体" w:eastAsia="宋体" w:cs="宋体"/>
          <w:kern w:val="0"/>
          <w:sz w:val="24"/>
          <w:lang w:val="zh-CN"/>
        </w:rPr>
        <w:t>) 竞争性磋商首次报价表………………………………………所在页码</w:t>
      </w:r>
    </w:p>
    <w:p w14:paraId="45C66673">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3</w:t>
      </w:r>
      <w:r>
        <w:rPr>
          <w:rFonts w:hint="eastAsia" w:ascii="宋体" w:hAnsi="宋体" w:eastAsia="宋体" w:cs="宋体"/>
          <w:kern w:val="0"/>
          <w:sz w:val="24"/>
          <w:lang w:val="zh-CN"/>
        </w:rPr>
        <w:t>) 服务要求响应表………………………………………………所在页码</w:t>
      </w:r>
    </w:p>
    <w:p w14:paraId="6176FBE8">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4</w:t>
      </w:r>
      <w:r>
        <w:rPr>
          <w:rFonts w:hint="eastAsia" w:ascii="宋体" w:hAnsi="宋体" w:eastAsia="宋体" w:cs="宋体"/>
          <w:kern w:val="0"/>
          <w:sz w:val="24"/>
          <w:lang w:val="zh-CN"/>
        </w:rPr>
        <w:t>)供应商基本情况表</w:t>
      </w:r>
      <w:r>
        <w:rPr>
          <w:rFonts w:hint="eastAsia" w:ascii="宋体" w:hAnsi="宋体" w:cs="宋体"/>
          <w:kern w:val="0"/>
          <w:sz w:val="24"/>
          <w:lang w:val="en-US" w:eastAsia="zh-CN"/>
        </w:rPr>
        <w:t xml:space="preserve"> </w:t>
      </w:r>
      <w:r>
        <w:rPr>
          <w:rFonts w:hint="eastAsia" w:ascii="宋体" w:hAnsi="宋体" w:eastAsia="宋体" w:cs="宋体"/>
          <w:kern w:val="0"/>
          <w:sz w:val="24"/>
          <w:lang w:val="zh-CN"/>
        </w:rPr>
        <w:t>……………………………………………所在页码</w:t>
      </w:r>
    </w:p>
    <w:p w14:paraId="3140CEEB">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5</w:t>
      </w:r>
      <w:r>
        <w:rPr>
          <w:rFonts w:hint="eastAsia" w:ascii="宋体" w:hAnsi="宋体" w:eastAsia="宋体" w:cs="宋体"/>
          <w:kern w:val="0"/>
          <w:sz w:val="24"/>
          <w:lang w:val="zh-CN"/>
        </w:rPr>
        <w:t>)拟投入项目服务团队情况表</w:t>
      </w:r>
      <w:r>
        <w:rPr>
          <w:rFonts w:hint="eastAsia" w:ascii="宋体" w:hAnsi="宋体" w:cs="宋体"/>
          <w:kern w:val="0"/>
          <w:sz w:val="24"/>
          <w:lang w:val="en-US" w:eastAsia="zh-CN"/>
        </w:rPr>
        <w:t xml:space="preserve"> </w:t>
      </w:r>
      <w:r>
        <w:rPr>
          <w:rFonts w:hint="eastAsia" w:ascii="宋体" w:hAnsi="宋体" w:eastAsia="宋体" w:cs="宋体"/>
          <w:kern w:val="0"/>
          <w:sz w:val="24"/>
          <w:lang w:val="zh-CN"/>
        </w:rPr>
        <w:t>…………………………………所在页码</w:t>
      </w:r>
    </w:p>
    <w:p w14:paraId="1303719A">
      <w:pPr>
        <w:autoSpaceDE w:val="0"/>
        <w:autoSpaceDN w:val="0"/>
        <w:spacing w:line="360" w:lineRule="auto"/>
        <w:ind w:firstLine="240" w:firstLineChars="1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6</w:t>
      </w:r>
      <w:r>
        <w:rPr>
          <w:rFonts w:hint="eastAsia" w:ascii="宋体" w:hAnsi="宋体" w:eastAsia="宋体" w:cs="宋体"/>
          <w:kern w:val="0"/>
          <w:sz w:val="24"/>
          <w:lang w:val="zh-CN"/>
        </w:rPr>
        <w:t>) 服务方案……………………………………………………</w:t>
      </w:r>
      <w:r>
        <w:rPr>
          <w:rFonts w:hint="eastAsia" w:ascii="宋体" w:hAnsi="宋体" w:cs="宋体"/>
          <w:kern w:val="0"/>
          <w:sz w:val="24"/>
          <w:lang w:val="zh-CN"/>
        </w:rPr>
        <w:t>…</w:t>
      </w:r>
      <w:r>
        <w:rPr>
          <w:rFonts w:hint="eastAsia" w:ascii="宋体" w:hAnsi="宋体" w:eastAsia="宋体" w:cs="宋体"/>
          <w:kern w:val="0"/>
          <w:sz w:val="24"/>
          <w:lang w:val="zh-CN"/>
        </w:rPr>
        <w:t>所在页码</w:t>
      </w:r>
    </w:p>
    <w:p w14:paraId="636EC6A3">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eastAsia="宋体" w:cs="宋体"/>
          <w:kern w:val="0"/>
          <w:sz w:val="24"/>
          <w:lang w:val="zh-CN"/>
        </w:rPr>
        <w:t xml:space="preserve"> (1</w:t>
      </w:r>
      <w:r>
        <w:rPr>
          <w:rFonts w:hint="eastAsia" w:ascii="宋体" w:hAnsi="宋体" w:eastAsia="宋体" w:cs="宋体"/>
          <w:kern w:val="0"/>
          <w:sz w:val="24"/>
          <w:lang w:val="en-US" w:eastAsia="zh-CN"/>
        </w:rPr>
        <w:t>7</w:t>
      </w:r>
      <w:r>
        <w:rPr>
          <w:rFonts w:hint="eastAsia" w:ascii="宋体" w:hAnsi="宋体" w:eastAsia="宋体" w:cs="宋体"/>
          <w:kern w:val="0"/>
          <w:sz w:val="24"/>
          <w:lang w:val="zh-CN"/>
        </w:rPr>
        <w:t>) 磋商供</w:t>
      </w:r>
      <w:r>
        <w:rPr>
          <w:rFonts w:hint="eastAsia" w:ascii="宋体" w:hAnsi="宋体" w:cs="宋体"/>
          <w:kern w:val="0"/>
          <w:sz w:val="24"/>
          <w:lang w:val="zh-CN"/>
        </w:rPr>
        <w:t>应商的类似业绩证明材料……………………………所在页码</w:t>
      </w:r>
    </w:p>
    <w:p w14:paraId="19C0E0B4">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 xml:space="preserve"> (1</w:t>
      </w:r>
      <w:r>
        <w:rPr>
          <w:rFonts w:hint="eastAsia" w:ascii="宋体" w:hAnsi="宋体" w:cs="宋体"/>
          <w:kern w:val="0"/>
          <w:sz w:val="24"/>
          <w:lang w:val="en-US" w:eastAsia="zh-CN"/>
        </w:rPr>
        <w:t>8</w:t>
      </w:r>
      <w:r>
        <w:rPr>
          <w:rFonts w:hint="eastAsia" w:ascii="宋体" w:hAnsi="宋体" w:cs="宋体"/>
          <w:kern w:val="0"/>
          <w:sz w:val="24"/>
          <w:lang w:val="zh-CN"/>
        </w:rPr>
        <w:t>) 中小企业声明函………………………………………………所在页码</w:t>
      </w:r>
    </w:p>
    <w:p w14:paraId="25950696">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 xml:space="preserve"> (1</w:t>
      </w:r>
      <w:r>
        <w:rPr>
          <w:rFonts w:hint="eastAsia" w:ascii="宋体" w:hAnsi="宋体" w:cs="宋体"/>
          <w:kern w:val="0"/>
          <w:sz w:val="24"/>
          <w:lang w:val="en-US" w:eastAsia="zh-CN"/>
        </w:rPr>
        <w:t>9</w:t>
      </w:r>
      <w:r>
        <w:rPr>
          <w:rFonts w:hint="eastAsia" w:ascii="宋体" w:hAnsi="宋体" w:cs="宋体"/>
          <w:kern w:val="0"/>
          <w:sz w:val="24"/>
          <w:lang w:val="zh-CN"/>
        </w:rPr>
        <w:t>) 残疾人福利性单位声明函……………………………………所在页码</w:t>
      </w:r>
    </w:p>
    <w:p w14:paraId="386B0AB0">
      <w:pPr>
        <w:autoSpaceDE w:val="0"/>
        <w:autoSpaceDN w:val="0"/>
        <w:spacing w:line="360" w:lineRule="auto"/>
        <w:ind w:firstLine="240" w:firstLineChars="100"/>
        <w:jc w:val="left"/>
        <w:rPr>
          <w:rFonts w:hint="eastAsia" w:ascii="宋体" w:hAnsi="宋体" w:cs="宋体"/>
          <w:kern w:val="0"/>
          <w:sz w:val="24"/>
          <w:lang w:val="zh-CN"/>
        </w:rPr>
      </w:pPr>
      <w:r>
        <w:rPr>
          <w:rFonts w:hint="eastAsia" w:ascii="宋体" w:hAnsi="宋体" w:cs="宋体"/>
          <w:kern w:val="0"/>
          <w:sz w:val="24"/>
          <w:lang w:val="zh-CN"/>
        </w:rPr>
        <w:t xml:space="preserve"> (</w:t>
      </w:r>
      <w:r>
        <w:rPr>
          <w:rFonts w:hint="eastAsia" w:ascii="宋体" w:hAnsi="宋体" w:cs="宋体"/>
          <w:kern w:val="0"/>
          <w:sz w:val="24"/>
          <w:lang w:val="en-US" w:eastAsia="zh-CN"/>
        </w:rPr>
        <w:t>20</w:t>
      </w:r>
      <w:r>
        <w:rPr>
          <w:rFonts w:hint="eastAsia" w:ascii="宋体" w:hAnsi="宋体" w:cs="宋体"/>
          <w:kern w:val="0"/>
          <w:sz w:val="24"/>
          <w:lang w:val="zh-CN"/>
        </w:rPr>
        <w:t>) 磋商供应商认为在其他方面有必要说明的事项……………所在页码</w:t>
      </w:r>
    </w:p>
    <w:p w14:paraId="5F3C04CB">
      <w:pPr>
        <w:autoSpaceDE w:val="0"/>
        <w:autoSpaceDN w:val="0"/>
        <w:spacing w:line="360" w:lineRule="auto"/>
        <w:ind w:firstLine="240" w:firstLineChars="100"/>
        <w:jc w:val="left"/>
        <w:rPr>
          <w:rFonts w:hint="eastAsia" w:ascii="宋体" w:hAnsi="宋体" w:cs="宋体"/>
          <w:kern w:val="0"/>
          <w:sz w:val="24"/>
          <w:lang w:val="zh-CN"/>
        </w:rPr>
      </w:pPr>
      <w:r>
        <w:rPr>
          <w:rFonts w:hint="eastAsia" w:ascii="宋体" w:hAnsi="宋体" w:eastAsia="宋体" w:cs="宋体"/>
          <w:sz w:val="24"/>
          <w:szCs w:val="24"/>
          <w:lang w:val="zh-CN"/>
        </w:rPr>
        <w:t>（</w:t>
      </w:r>
      <w:r>
        <w:rPr>
          <w:rFonts w:hint="eastAsia" w:ascii="宋体" w:hAnsi="宋体" w:eastAsia="宋体" w:cs="宋体"/>
          <w:sz w:val="24"/>
          <w:szCs w:val="24"/>
          <w:lang w:val="en-US" w:eastAsia="zh-CN"/>
        </w:rPr>
        <w:t>21</w:t>
      </w:r>
      <w:r>
        <w:rPr>
          <w:rFonts w:hint="eastAsia" w:ascii="宋体" w:hAnsi="宋体" w:eastAsia="宋体" w:cs="宋体"/>
          <w:sz w:val="24"/>
          <w:szCs w:val="24"/>
          <w:lang w:val="zh-CN"/>
        </w:rPr>
        <w:t>）磋商最终报价表</w:t>
      </w:r>
      <w:r>
        <w:rPr>
          <w:rFonts w:hint="eastAsia" w:ascii="宋体" w:hAnsi="宋体" w:eastAsia="宋体" w:cs="宋体"/>
          <w:sz w:val="24"/>
          <w:szCs w:val="24"/>
        </w:rPr>
        <w:t>（单独提交）</w:t>
      </w:r>
      <w:r>
        <w:rPr>
          <w:rFonts w:hint="eastAsia" w:ascii="宋体" w:hAnsi="宋体" w:cs="宋体"/>
          <w:kern w:val="0"/>
          <w:sz w:val="24"/>
          <w:lang w:val="zh-CN"/>
        </w:rPr>
        <w:t>………………………………所在页码</w:t>
      </w:r>
    </w:p>
    <w:p w14:paraId="75DE57A6">
      <w:pPr>
        <w:autoSpaceDE w:val="0"/>
        <w:autoSpaceDN w:val="0"/>
        <w:spacing w:line="360" w:lineRule="auto"/>
        <w:ind w:firstLine="240" w:firstLineChars="100"/>
        <w:jc w:val="left"/>
        <w:rPr>
          <w:rFonts w:ascii="宋体" w:hAnsi="宋体" w:cs="宋体"/>
          <w:kern w:val="0"/>
          <w:sz w:val="24"/>
          <w:lang w:val="zh-CN"/>
        </w:rPr>
      </w:pPr>
    </w:p>
    <w:p w14:paraId="7FA38186">
      <w:pPr>
        <w:pStyle w:val="4"/>
        <w:tabs>
          <w:tab w:val="left" w:pos="425"/>
        </w:tabs>
        <w:ind w:left="709" w:hanging="709"/>
        <w:rPr>
          <w:rFonts w:hAnsi="宋体"/>
        </w:rPr>
      </w:pPr>
      <w:r>
        <w:rPr>
          <w:rFonts w:hAnsi="宋体"/>
          <w:b/>
          <w:bCs/>
        </w:rPr>
        <w:br w:type="page"/>
      </w:r>
      <w:bookmarkStart w:id="372" w:name="_Toc27161"/>
      <w:bookmarkStart w:id="373" w:name="_Toc10246"/>
      <w:r>
        <w:rPr>
          <w:rFonts w:hint="eastAsia" w:hAnsi="宋体"/>
          <w:b/>
          <w:sz w:val="32"/>
          <w:lang w:val="zh-CN"/>
        </w:rPr>
        <w:t>格式1、磋商函</w:t>
      </w:r>
      <w:bookmarkEnd w:id="372"/>
      <w:bookmarkEnd w:id="373"/>
    </w:p>
    <w:p w14:paraId="1DBFCF88">
      <w:pPr>
        <w:adjustRightInd w:val="0"/>
        <w:spacing w:line="360" w:lineRule="auto"/>
        <w:jc w:val="center"/>
        <w:textAlignment w:val="baseline"/>
        <w:rPr>
          <w:rFonts w:ascii="宋体" w:hAnsi="宋体"/>
          <w:b/>
          <w:sz w:val="32"/>
          <w:szCs w:val="30"/>
        </w:rPr>
      </w:pPr>
      <w:r>
        <w:rPr>
          <w:rFonts w:hint="eastAsia" w:ascii="宋体" w:hAnsi="宋体"/>
          <w:b/>
          <w:sz w:val="32"/>
          <w:szCs w:val="30"/>
        </w:rPr>
        <w:t>磋 商 函</w:t>
      </w:r>
    </w:p>
    <w:p w14:paraId="6BFEA452">
      <w:pPr>
        <w:adjustRightInd w:val="0"/>
        <w:spacing w:line="360" w:lineRule="auto"/>
        <w:ind w:left="482" w:hanging="482" w:hangingChars="200"/>
        <w:textAlignment w:val="baseline"/>
        <w:rPr>
          <w:rFonts w:ascii="宋体" w:hAnsi="宋体"/>
          <w:b/>
          <w:sz w:val="24"/>
        </w:rPr>
      </w:pPr>
      <w:r>
        <w:rPr>
          <w:rFonts w:hint="eastAsia" w:ascii="宋体" w:hAnsi="宋体"/>
          <w:b/>
          <w:sz w:val="24"/>
        </w:rPr>
        <w:t>致：</w:t>
      </w:r>
      <w:r>
        <w:rPr>
          <w:rFonts w:hint="eastAsia" w:ascii="宋体" w:hAnsi="宋体"/>
          <w:b/>
          <w:sz w:val="24"/>
          <w:u w:val="single"/>
        </w:rPr>
        <w:t>青海国德招标代理有限公司</w:t>
      </w:r>
    </w:p>
    <w:p w14:paraId="67D7DE3C">
      <w:pPr>
        <w:adjustRightInd w:val="0"/>
        <w:spacing w:line="360" w:lineRule="auto"/>
        <w:ind w:firstLine="480" w:firstLineChars="200"/>
        <w:textAlignment w:val="baseline"/>
        <w:rPr>
          <w:rFonts w:ascii="宋体" w:hAnsi="宋体"/>
          <w:sz w:val="24"/>
        </w:rPr>
      </w:pPr>
      <w:r>
        <w:rPr>
          <w:rFonts w:hint="eastAsia" w:ascii="宋体" w:hAnsi="宋体"/>
          <w:sz w:val="24"/>
        </w:rPr>
        <w:t>我们收到</w:t>
      </w:r>
      <w:r>
        <w:rPr>
          <w:rFonts w:hint="eastAsia" w:ascii="宋体" w:hAnsi="宋体"/>
          <w:sz w:val="24"/>
          <w:u w:val="single"/>
          <w:lang w:eastAsia="zh-CN"/>
        </w:rPr>
        <w:t>青海省养老服务中心食堂餐饮管理服务项目（项目编号：青海国德竞磋（服务）2025-037）</w:t>
      </w:r>
      <w:r>
        <w:rPr>
          <w:rFonts w:hint="eastAsia" w:ascii="宋体" w:hAnsi="宋体"/>
          <w:sz w:val="24"/>
        </w:rPr>
        <w:t>磋商文件，经研究，法定代表人</w:t>
      </w:r>
      <w:r>
        <w:rPr>
          <w:rFonts w:hint="eastAsia" w:ascii="宋体" w:hAnsi="宋体"/>
          <w:sz w:val="24"/>
          <w:u w:val="single"/>
        </w:rPr>
        <w:t>（姓名、职务）</w:t>
      </w:r>
      <w:r>
        <w:rPr>
          <w:rFonts w:hint="eastAsia" w:ascii="宋体" w:hAnsi="宋体"/>
          <w:sz w:val="24"/>
        </w:rPr>
        <w:t>正式授权</w:t>
      </w:r>
      <w:r>
        <w:rPr>
          <w:rFonts w:hint="eastAsia" w:ascii="宋体" w:hAnsi="宋体"/>
          <w:sz w:val="24"/>
          <w:u w:val="single"/>
        </w:rPr>
        <w:t>（委托代理人姓名、职务）</w:t>
      </w:r>
      <w:r>
        <w:rPr>
          <w:rFonts w:hint="eastAsia" w:ascii="宋体" w:hAnsi="宋体"/>
          <w:sz w:val="24"/>
        </w:rPr>
        <w:t>代表磋商供应商</w:t>
      </w:r>
      <w:r>
        <w:rPr>
          <w:rFonts w:hint="eastAsia" w:ascii="宋体" w:hAnsi="宋体"/>
          <w:sz w:val="24"/>
          <w:u w:val="single"/>
        </w:rPr>
        <w:t>（磋商供应商名称、地址）</w:t>
      </w:r>
      <w:r>
        <w:rPr>
          <w:rFonts w:hint="eastAsia" w:ascii="宋体" w:hAnsi="宋体"/>
          <w:sz w:val="24"/>
        </w:rPr>
        <w:t>提交磋商响应文件。</w:t>
      </w:r>
    </w:p>
    <w:p w14:paraId="3A8F5AA5">
      <w:pPr>
        <w:adjustRightInd w:val="0"/>
        <w:spacing w:line="360" w:lineRule="auto"/>
        <w:ind w:firstLine="480" w:firstLineChars="200"/>
        <w:textAlignment w:val="baseline"/>
        <w:rPr>
          <w:rFonts w:ascii="宋体" w:hAnsi="宋体"/>
          <w:sz w:val="24"/>
        </w:rPr>
      </w:pPr>
      <w:r>
        <w:rPr>
          <w:rFonts w:hint="eastAsia" w:ascii="宋体" w:hAnsi="宋体"/>
          <w:sz w:val="24"/>
        </w:rPr>
        <w:t>据此函，签字代表宣布同意如下：</w:t>
      </w:r>
    </w:p>
    <w:p w14:paraId="3482F24B">
      <w:pPr>
        <w:adjustRightInd w:val="0"/>
        <w:spacing w:line="360" w:lineRule="auto"/>
        <w:ind w:firstLine="480" w:firstLineChars="200"/>
        <w:textAlignment w:val="baseline"/>
        <w:rPr>
          <w:rFonts w:ascii="宋体" w:hAnsi="宋体"/>
          <w:sz w:val="24"/>
        </w:rPr>
      </w:pPr>
      <w:r>
        <w:rPr>
          <w:rFonts w:hint="eastAsia" w:ascii="宋体" w:hAnsi="宋体"/>
          <w:sz w:val="24"/>
        </w:rPr>
        <w:t>1.我方已详阅磋商文件的全部内容，包括澄清、修改条款等有关附件，承诺对其完全理解并接受。</w:t>
      </w:r>
    </w:p>
    <w:p w14:paraId="653C0385">
      <w:pPr>
        <w:adjustRightInd w:val="0"/>
        <w:spacing w:line="360" w:lineRule="auto"/>
        <w:ind w:firstLine="480" w:firstLineChars="200"/>
        <w:textAlignment w:val="baseline"/>
        <w:rPr>
          <w:rFonts w:ascii="宋体" w:hAnsi="宋体"/>
          <w:sz w:val="24"/>
        </w:rPr>
      </w:pPr>
      <w:r>
        <w:rPr>
          <w:rFonts w:hint="eastAsia" w:ascii="宋体" w:hAnsi="宋体"/>
          <w:sz w:val="24"/>
        </w:rPr>
        <w:t>2.磋商有效期自开标之日起</w:t>
      </w:r>
      <w:r>
        <w:rPr>
          <w:rFonts w:hint="eastAsia" w:ascii="宋体" w:hAnsi="宋体"/>
          <w:sz w:val="24"/>
          <w:u w:val="single"/>
          <w:lang w:val="en-US" w:eastAsia="zh-CN"/>
        </w:rPr>
        <w:t xml:space="preserve">   </w:t>
      </w:r>
      <w:r>
        <w:rPr>
          <w:rFonts w:hint="eastAsia" w:ascii="宋体" w:hAnsi="宋体"/>
          <w:sz w:val="24"/>
        </w:rPr>
        <w:t>日内有效。如果在规定的开标时间后，我方在磋商有效期内撤回磋商或中标后不签约的，磋商保证金将被贵方没收。</w:t>
      </w:r>
    </w:p>
    <w:p w14:paraId="0287F2A9">
      <w:pPr>
        <w:adjustRightInd w:val="0"/>
        <w:spacing w:line="360" w:lineRule="auto"/>
        <w:ind w:firstLine="480" w:firstLineChars="200"/>
        <w:textAlignment w:val="baseline"/>
        <w:rPr>
          <w:rFonts w:ascii="宋体" w:hAnsi="宋体"/>
          <w:sz w:val="24"/>
        </w:rPr>
      </w:pPr>
      <w:r>
        <w:rPr>
          <w:rFonts w:hint="eastAsia" w:ascii="宋体" w:hAnsi="宋体"/>
          <w:sz w:val="24"/>
        </w:rPr>
        <w:t>3.我方同意按照贵方要求提供与磋商有关的一切数据或资料，理解并接受贵方制定的评标办法。</w:t>
      </w:r>
    </w:p>
    <w:p w14:paraId="69191420">
      <w:pPr>
        <w:adjustRightInd w:val="0"/>
        <w:spacing w:line="360" w:lineRule="auto"/>
        <w:ind w:firstLine="480" w:firstLineChars="200"/>
        <w:textAlignment w:val="baseline"/>
        <w:outlineLvl w:val="2"/>
        <w:rPr>
          <w:rFonts w:ascii="宋体" w:hAnsi="宋体"/>
          <w:sz w:val="24"/>
        </w:rPr>
      </w:pPr>
      <w:bookmarkStart w:id="374" w:name="_Toc3330"/>
      <w:r>
        <w:rPr>
          <w:rFonts w:hint="eastAsia" w:ascii="宋体" w:hAnsi="宋体"/>
          <w:sz w:val="24"/>
        </w:rPr>
        <w:t>4.与本磋商有关的一切正式往来通讯请寄：</w:t>
      </w:r>
      <w:bookmarkEnd w:id="374"/>
    </w:p>
    <w:p w14:paraId="7FE562D3">
      <w:pPr>
        <w:adjustRightInd w:val="0"/>
        <w:spacing w:line="360" w:lineRule="auto"/>
        <w:ind w:firstLine="480" w:firstLineChars="200"/>
        <w:textAlignment w:val="baseline"/>
        <w:rPr>
          <w:rFonts w:ascii="宋体" w:hAnsi="宋体"/>
          <w:sz w:val="24"/>
        </w:rPr>
      </w:pPr>
    </w:p>
    <w:p w14:paraId="7842D71E">
      <w:pPr>
        <w:adjustRightInd w:val="0"/>
        <w:spacing w:line="360" w:lineRule="auto"/>
        <w:textAlignment w:val="baseline"/>
        <w:rPr>
          <w:rFonts w:hint="default" w:ascii="宋体" w:hAnsi="宋体" w:eastAsia="宋体"/>
          <w:sz w:val="24"/>
          <w:u w:val="single"/>
          <w:lang w:val="en-US" w:eastAsia="zh-CN"/>
        </w:rPr>
      </w:pPr>
      <w:r>
        <w:rPr>
          <w:rFonts w:hint="eastAsia" w:ascii="宋体" w:hAnsi="宋体"/>
          <w:sz w:val="24"/>
        </w:rPr>
        <w:t>地址：</w:t>
      </w:r>
      <w:r>
        <w:rPr>
          <w:rFonts w:hint="eastAsia" w:ascii="宋体" w:hAnsi="宋体"/>
          <w:sz w:val="24"/>
          <w:u w:val="single"/>
          <w:lang w:val="en-US" w:eastAsia="zh-CN"/>
        </w:rPr>
        <w:t xml:space="preserve">                    </w:t>
      </w:r>
      <w:r>
        <w:rPr>
          <w:rFonts w:hint="eastAsia" w:ascii="宋体" w:hAnsi="宋体"/>
          <w:sz w:val="24"/>
          <w:lang w:val="en-US" w:eastAsia="zh-CN"/>
        </w:rPr>
        <w:t xml:space="preserve">          </w:t>
      </w:r>
      <w:r>
        <w:rPr>
          <w:rFonts w:hint="eastAsia" w:ascii="宋体" w:hAnsi="宋体"/>
          <w:sz w:val="24"/>
        </w:rPr>
        <w:t>邮编：</w:t>
      </w:r>
      <w:r>
        <w:rPr>
          <w:rFonts w:hint="eastAsia" w:ascii="宋体" w:hAnsi="宋体"/>
          <w:sz w:val="24"/>
          <w:u w:val="single"/>
          <w:lang w:val="en-US" w:eastAsia="zh-CN"/>
        </w:rPr>
        <w:t xml:space="preserve">                  </w:t>
      </w:r>
    </w:p>
    <w:p w14:paraId="7674BB8B">
      <w:pPr>
        <w:adjustRightInd w:val="0"/>
        <w:spacing w:line="360" w:lineRule="auto"/>
        <w:textAlignment w:val="baseline"/>
        <w:rPr>
          <w:rFonts w:ascii="宋体" w:hAnsi="宋体"/>
          <w:sz w:val="24"/>
        </w:rPr>
      </w:pPr>
    </w:p>
    <w:p w14:paraId="1C23F343">
      <w:pPr>
        <w:adjustRightInd w:val="0"/>
        <w:spacing w:line="360" w:lineRule="auto"/>
        <w:textAlignment w:val="baseline"/>
        <w:rPr>
          <w:rFonts w:hint="default" w:ascii="宋体" w:hAnsi="宋体" w:eastAsia="宋体"/>
          <w:sz w:val="24"/>
          <w:u w:val="single"/>
          <w:lang w:val="en-US" w:eastAsia="zh-CN"/>
        </w:rPr>
      </w:pPr>
      <w:r>
        <w:rPr>
          <w:rFonts w:hint="eastAsia" w:ascii="宋体" w:hAnsi="宋体"/>
          <w:sz w:val="24"/>
        </w:rPr>
        <w:t>电话：</w:t>
      </w:r>
      <w:r>
        <w:rPr>
          <w:rFonts w:hint="eastAsia" w:ascii="宋体" w:hAnsi="宋体"/>
          <w:sz w:val="24"/>
          <w:u w:val="single"/>
          <w:lang w:val="en-US" w:eastAsia="zh-CN"/>
        </w:rPr>
        <w:t xml:space="preserve">                     </w:t>
      </w:r>
      <w:r>
        <w:rPr>
          <w:rFonts w:hint="eastAsia" w:ascii="宋体" w:hAnsi="宋体"/>
          <w:sz w:val="24"/>
          <w:lang w:val="en-US" w:eastAsia="zh-CN"/>
        </w:rPr>
        <w:t xml:space="preserve">         </w:t>
      </w:r>
      <w:r>
        <w:rPr>
          <w:rFonts w:hint="eastAsia" w:ascii="宋体" w:hAnsi="宋体"/>
          <w:sz w:val="24"/>
        </w:rPr>
        <w:t>传真：</w:t>
      </w:r>
      <w:r>
        <w:rPr>
          <w:rFonts w:hint="eastAsia" w:ascii="宋体" w:hAnsi="宋体"/>
          <w:sz w:val="24"/>
          <w:u w:val="single"/>
          <w:lang w:val="en-US" w:eastAsia="zh-CN"/>
        </w:rPr>
        <w:t xml:space="preserve">                  </w:t>
      </w:r>
    </w:p>
    <w:p w14:paraId="383B492C">
      <w:pPr>
        <w:adjustRightInd w:val="0"/>
        <w:spacing w:line="360" w:lineRule="auto"/>
        <w:textAlignment w:val="baseline"/>
        <w:rPr>
          <w:rFonts w:ascii="宋体" w:hAnsi="宋体"/>
          <w:sz w:val="24"/>
        </w:rPr>
      </w:pPr>
    </w:p>
    <w:p w14:paraId="49195850">
      <w:pPr>
        <w:adjustRightInd w:val="0"/>
        <w:spacing w:line="360" w:lineRule="auto"/>
        <w:textAlignment w:val="baseline"/>
        <w:rPr>
          <w:rFonts w:hint="default" w:ascii="宋体" w:hAnsi="宋体" w:eastAsia="宋体"/>
          <w:sz w:val="24"/>
          <w:u w:val="single"/>
          <w:lang w:val="en-US" w:eastAsia="zh-CN"/>
        </w:rPr>
      </w:pPr>
      <w:r>
        <w:rPr>
          <w:rFonts w:hint="eastAsia" w:ascii="宋体" w:hAnsi="宋体"/>
          <w:sz w:val="24"/>
        </w:rPr>
        <w:t>法定代表人姓名：</w:t>
      </w:r>
      <w:r>
        <w:rPr>
          <w:rFonts w:hint="eastAsia" w:ascii="宋体" w:hAnsi="宋体"/>
          <w:sz w:val="24"/>
          <w:u w:val="single"/>
          <w:lang w:val="en-US" w:eastAsia="zh-CN"/>
        </w:rPr>
        <w:t xml:space="preserve">              </w:t>
      </w:r>
      <w:r>
        <w:rPr>
          <w:rFonts w:hint="eastAsia" w:ascii="宋体" w:hAnsi="宋体"/>
          <w:sz w:val="24"/>
          <w:lang w:val="en-US" w:eastAsia="zh-CN"/>
        </w:rPr>
        <w:t xml:space="preserve">      </w:t>
      </w:r>
      <w:r>
        <w:rPr>
          <w:rFonts w:hint="eastAsia" w:ascii="宋体" w:hAnsi="宋体"/>
          <w:sz w:val="24"/>
        </w:rPr>
        <w:t>职务：</w:t>
      </w:r>
      <w:bookmarkStart w:id="375" w:name="_Toc444715736"/>
      <w:r>
        <w:rPr>
          <w:rFonts w:hint="eastAsia" w:ascii="宋体" w:hAnsi="宋体"/>
          <w:sz w:val="24"/>
          <w:u w:val="single"/>
          <w:lang w:val="en-US" w:eastAsia="zh-CN"/>
        </w:rPr>
        <w:t xml:space="preserve">                  </w:t>
      </w:r>
    </w:p>
    <w:p w14:paraId="686E4DD8">
      <w:pPr>
        <w:tabs>
          <w:tab w:val="left" w:pos="168"/>
        </w:tabs>
        <w:adjustRightInd w:val="0"/>
        <w:spacing w:line="360" w:lineRule="auto"/>
        <w:ind w:right="480"/>
        <w:jc w:val="right"/>
        <w:textAlignment w:val="baseline"/>
        <w:rPr>
          <w:rFonts w:ascii="宋体" w:hAnsi="宋体"/>
          <w:bCs/>
          <w:sz w:val="24"/>
          <w:szCs w:val="28"/>
        </w:rPr>
      </w:pPr>
    </w:p>
    <w:p w14:paraId="03B7B960">
      <w:pPr>
        <w:tabs>
          <w:tab w:val="left" w:pos="168"/>
        </w:tabs>
        <w:adjustRightInd w:val="0"/>
        <w:spacing w:line="360" w:lineRule="auto"/>
        <w:jc w:val="right"/>
        <w:textAlignment w:val="baseline"/>
        <w:rPr>
          <w:rFonts w:ascii="宋体" w:hAnsi="宋体"/>
          <w:bCs/>
          <w:sz w:val="24"/>
          <w:szCs w:val="28"/>
        </w:rPr>
      </w:pPr>
    </w:p>
    <w:p w14:paraId="1A13D6CC">
      <w:pPr>
        <w:tabs>
          <w:tab w:val="left" w:pos="168"/>
        </w:tabs>
        <w:adjustRightInd w:val="0"/>
        <w:spacing w:line="360" w:lineRule="auto"/>
        <w:jc w:val="right"/>
        <w:textAlignment w:val="baseline"/>
        <w:rPr>
          <w:rFonts w:ascii="宋体" w:hAnsi="宋体"/>
          <w:bCs/>
          <w:sz w:val="24"/>
          <w:szCs w:val="28"/>
        </w:rPr>
      </w:pPr>
    </w:p>
    <w:p w14:paraId="7D2C8084">
      <w:pPr>
        <w:tabs>
          <w:tab w:val="left" w:pos="168"/>
        </w:tabs>
        <w:adjustRightInd w:val="0"/>
        <w:spacing w:line="360" w:lineRule="auto"/>
        <w:jc w:val="right"/>
        <w:textAlignment w:val="baseline"/>
        <w:rPr>
          <w:rFonts w:ascii="宋体" w:hAnsi="宋体"/>
          <w:bCs/>
          <w:sz w:val="24"/>
          <w:szCs w:val="28"/>
        </w:rPr>
      </w:pPr>
    </w:p>
    <w:p w14:paraId="366CA210">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52B85E77">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757C52A8">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日期：    年   月   日</w:t>
      </w:r>
    </w:p>
    <w:bookmarkEnd w:id="375"/>
    <w:p w14:paraId="662A2007">
      <w:pPr>
        <w:pStyle w:val="4"/>
        <w:tabs>
          <w:tab w:val="left" w:pos="425"/>
        </w:tabs>
        <w:outlineLvl w:val="9"/>
        <w:rPr>
          <w:rFonts w:hAnsi="宋体"/>
          <w:bCs/>
          <w:sz w:val="24"/>
          <w:szCs w:val="28"/>
        </w:rPr>
      </w:pPr>
      <w:bookmarkStart w:id="376" w:name="_Toc444715737"/>
      <w:bookmarkStart w:id="377" w:name="_Toc25583"/>
    </w:p>
    <w:bookmarkEnd w:id="376"/>
    <w:bookmarkEnd w:id="377"/>
    <w:p w14:paraId="4682357E">
      <w:pPr>
        <w:pStyle w:val="4"/>
        <w:tabs>
          <w:tab w:val="left" w:pos="425"/>
        </w:tabs>
        <w:outlineLvl w:val="9"/>
        <w:rPr>
          <w:rFonts w:hAnsi="宋体"/>
          <w:bCs/>
          <w:sz w:val="24"/>
          <w:szCs w:val="28"/>
        </w:rPr>
        <w:sectPr>
          <w:pgSz w:w="11906" w:h="16838"/>
          <w:pgMar w:top="1440" w:right="1080" w:bottom="1440" w:left="1080" w:header="567" w:footer="567" w:gutter="0"/>
          <w:pgNumType w:fmt="decimal"/>
          <w:cols w:space="720" w:num="1"/>
          <w:titlePg/>
          <w:docGrid w:linePitch="312" w:charSpace="0"/>
        </w:sectPr>
      </w:pPr>
    </w:p>
    <w:p w14:paraId="1AA97C2B">
      <w:pPr>
        <w:pStyle w:val="5"/>
      </w:pPr>
    </w:p>
    <w:p w14:paraId="354F5E4D">
      <w:pPr>
        <w:pStyle w:val="4"/>
        <w:tabs>
          <w:tab w:val="left" w:pos="425"/>
        </w:tabs>
        <w:ind w:left="709" w:hanging="709"/>
        <w:rPr>
          <w:rFonts w:hAnsi="宋体"/>
          <w:lang w:val="zh-CN"/>
        </w:rPr>
      </w:pPr>
      <w:bookmarkStart w:id="378" w:name="_Toc17522"/>
      <w:bookmarkStart w:id="379" w:name="_Toc25799"/>
      <w:r>
        <w:rPr>
          <w:rFonts w:hint="eastAsia" w:hAnsi="宋体"/>
          <w:b/>
          <w:sz w:val="32"/>
          <w:lang w:val="zh-CN"/>
        </w:rPr>
        <w:t>格式2、法定代表人证明书</w:t>
      </w:r>
      <w:bookmarkEnd w:id="378"/>
      <w:bookmarkEnd w:id="379"/>
    </w:p>
    <w:p w14:paraId="69DC96D7">
      <w:pPr>
        <w:spacing w:line="360" w:lineRule="auto"/>
        <w:rPr>
          <w:rFonts w:ascii="宋体" w:hAnsi="宋体"/>
          <w:lang w:val="zh-CN"/>
        </w:rPr>
      </w:pPr>
    </w:p>
    <w:p w14:paraId="7B7E4A19">
      <w:pPr>
        <w:autoSpaceDE w:val="0"/>
        <w:autoSpaceDN w:val="0"/>
        <w:adjustRightInd w:val="0"/>
        <w:spacing w:line="360" w:lineRule="auto"/>
        <w:jc w:val="center"/>
        <w:rPr>
          <w:rFonts w:ascii="宋体" w:hAnsi="宋体" w:cs="宋体"/>
          <w:b/>
          <w:bCs/>
          <w:kern w:val="0"/>
          <w:sz w:val="36"/>
          <w:szCs w:val="36"/>
          <w:lang w:val="zh-CN"/>
        </w:rPr>
      </w:pPr>
      <w:r>
        <w:rPr>
          <w:rFonts w:hint="eastAsia" w:ascii="宋体" w:hAnsi="宋体" w:cs="宋体"/>
          <w:b/>
          <w:bCs/>
          <w:kern w:val="0"/>
          <w:sz w:val="32"/>
          <w:szCs w:val="32"/>
          <w:lang w:val="zh-CN"/>
        </w:rPr>
        <w:t>法定代表人证明书</w:t>
      </w:r>
    </w:p>
    <w:p w14:paraId="1CA40AC7">
      <w:pPr>
        <w:autoSpaceDE w:val="0"/>
        <w:autoSpaceDN w:val="0"/>
        <w:adjustRightInd w:val="0"/>
        <w:spacing w:line="360" w:lineRule="auto"/>
        <w:rPr>
          <w:rFonts w:ascii="宋体" w:hAnsi="宋体" w:cs="宋体"/>
          <w:b/>
          <w:bCs/>
          <w:kern w:val="0"/>
          <w:sz w:val="24"/>
          <w:lang w:val="zh-CN"/>
        </w:rPr>
      </w:pPr>
      <w:r>
        <w:rPr>
          <w:rFonts w:hint="eastAsia" w:ascii="宋体" w:hAnsi="宋体" w:cs="宋体"/>
          <w:b/>
          <w:bCs/>
          <w:kern w:val="0"/>
          <w:sz w:val="24"/>
          <w:lang w:val="zh-CN"/>
        </w:rPr>
        <w:t>致：青海国德招标代理有限公司</w:t>
      </w:r>
    </w:p>
    <w:p w14:paraId="2498EBB7">
      <w:pPr>
        <w:autoSpaceDE w:val="0"/>
        <w:autoSpaceDN w:val="0"/>
        <w:adjustRightInd w:val="0"/>
        <w:spacing w:line="360" w:lineRule="auto"/>
        <w:rPr>
          <w:rFonts w:ascii="宋体" w:hAnsi="宋体" w:cs="宋体"/>
          <w:kern w:val="0"/>
          <w:sz w:val="24"/>
          <w:lang w:val="zh-CN"/>
        </w:rPr>
      </w:pPr>
    </w:p>
    <w:p w14:paraId="363E340D">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u w:val="single"/>
          <w:lang w:val="zh-CN"/>
        </w:rPr>
        <w:t xml:space="preserve">（法定代表人姓名）  </w:t>
      </w:r>
      <w:r>
        <w:rPr>
          <w:rFonts w:hint="eastAsia" w:ascii="宋体" w:hAnsi="宋体" w:cs="宋体"/>
          <w:kern w:val="0"/>
          <w:sz w:val="24"/>
          <w:lang w:val="zh-CN"/>
        </w:rPr>
        <w:t>现任我单位职务，为法定代表人，特此证明。</w:t>
      </w:r>
    </w:p>
    <w:p w14:paraId="2C3E32A2">
      <w:pPr>
        <w:autoSpaceDE w:val="0"/>
        <w:autoSpaceDN w:val="0"/>
        <w:adjustRightInd w:val="0"/>
        <w:spacing w:line="360" w:lineRule="auto"/>
        <w:rPr>
          <w:rFonts w:ascii="宋体" w:hAnsi="宋体" w:cs="宋体"/>
          <w:kern w:val="0"/>
          <w:sz w:val="24"/>
          <w:lang w:val="zh-CN"/>
        </w:rPr>
      </w:pPr>
    </w:p>
    <w:p w14:paraId="324A32CF">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 xml:space="preserve">法定代表人基本情况： </w:t>
      </w:r>
    </w:p>
    <w:p w14:paraId="2F5ED399">
      <w:pPr>
        <w:autoSpaceDE w:val="0"/>
        <w:autoSpaceDN w:val="0"/>
        <w:adjustRightInd w:val="0"/>
        <w:spacing w:line="360" w:lineRule="auto"/>
        <w:rPr>
          <w:rFonts w:ascii="宋体" w:hAnsi="宋体" w:cs="宋体"/>
          <w:kern w:val="0"/>
          <w:sz w:val="24"/>
          <w:lang w:val="zh-CN"/>
        </w:rPr>
      </w:pPr>
    </w:p>
    <w:p w14:paraId="2C5C9809">
      <w:pPr>
        <w:autoSpaceDE w:val="0"/>
        <w:autoSpaceDN w:val="0"/>
        <w:adjustRightInd w:val="0"/>
        <w:spacing w:line="360" w:lineRule="auto"/>
        <w:rPr>
          <w:rFonts w:hint="default" w:ascii="宋体" w:hAnsi="宋体" w:eastAsia="宋体" w:cs="宋体"/>
          <w:kern w:val="0"/>
          <w:sz w:val="24"/>
          <w:u w:val="single"/>
          <w:lang w:val="en-US" w:eastAsia="zh-CN"/>
        </w:rPr>
      </w:pPr>
      <w:r>
        <w:rPr>
          <w:rFonts w:hint="eastAsia" w:ascii="宋体" w:hAnsi="宋体" w:cs="宋体"/>
          <w:kern w:val="0"/>
          <w:sz w:val="24"/>
          <w:lang w:val="zh-CN"/>
        </w:rPr>
        <w:t>性别：</w:t>
      </w:r>
      <w:r>
        <w:rPr>
          <w:rFonts w:hint="eastAsia" w:ascii="宋体" w:hAnsi="宋体" w:cs="宋体"/>
          <w:kern w:val="0"/>
          <w:sz w:val="24"/>
          <w:u w:val="single"/>
          <w:lang w:val="en-US" w:eastAsia="zh-CN"/>
        </w:rPr>
        <w:t xml:space="preserve">    </w:t>
      </w:r>
      <w:r>
        <w:rPr>
          <w:rFonts w:hint="eastAsia" w:ascii="宋体" w:hAnsi="宋体" w:cs="宋体"/>
          <w:kern w:val="0"/>
          <w:sz w:val="24"/>
          <w:lang w:val="zh-CN"/>
        </w:rPr>
        <w:t>年龄：</w:t>
      </w:r>
      <w:r>
        <w:rPr>
          <w:rFonts w:hint="eastAsia" w:ascii="宋体" w:hAnsi="宋体" w:cs="宋体"/>
          <w:kern w:val="0"/>
          <w:sz w:val="24"/>
          <w:u w:val="single"/>
          <w:lang w:val="en-US" w:eastAsia="zh-CN"/>
        </w:rPr>
        <w:t xml:space="preserve">     </w:t>
      </w:r>
      <w:r>
        <w:rPr>
          <w:rFonts w:hint="eastAsia" w:ascii="宋体" w:hAnsi="宋体" w:cs="宋体"/>
          <w:kern w:val="0"/>
          <w:sz w:val="24"/>
          <w:lang w:val="zh-CN"/>
        </w:rPr>
        <w:t xml:space="preserve"> 民族：</w:t>
      </w:r>
      <w:r>
        <w:rPr>
          <w:rFonts w:hint="eastAsia" w:ascii="宋体" w:hAnsi="宋体" w:cs="宋体"/>
          <w:kern w:val="0"/>
          <w:sz w:val="24"/>
          <w:u w:val="single"/>
          <w:lang w:val="en-US" w:eastAsia="zh-CN"/>
        </w:rPr>
        <w:t xml:space="preserve">     </w:t>
      </w:r>
    </w:p>
    <w:p w14:paraId="38E0E267">
      <w:pPr>
        <w:autoSpaceDE w:val="0"/>
        <w:autoSpaceDN w:val="0"/>
        <w:adjustRightInd w:val="0"/>
        <w:spacing w:line="360" w:lineRule="auto"/>
        <w:rPr>
          <w:rFonts w:ascii="宋体" w:hAnsi="宋体" w:cs="宋体"/>
          <w:kern w:val="0"/>
          <w:sz w:val="24"/>
          <w:lang w:val="zh-CN"/>
        </w:rPr>
      </w:pPr>
    </w:p>
    <w:p w14:paraId="3F17B01D">
      <w:pPr>
        <w:autoSpaceDE w:val="0"/>
        <w:autoSpaceDN w:val="0"/>
        <w:adjustRightInd w:val="0"/>
        <w:spacing w:line="360" w:lineRule="auto"/>
        <w:rPr>
          <w:rFonts w:hint="default" w:ascii="宋体" w:hAnsi="宋体" w:eastAsia="宋体" w:cs="宋体"/>
          <w:kern w:val="0"/>
          <w:sz w:val="24"/>
          <w:u w:val="single"/>
          <w:lang w:val="en-US" w:eastAsia="zh-CN"/>
        </w:rPr>
      </w:pPr>
      <w:r>
        <w:rPr>
          <w:rFonts w:hint="eastAsia" w:ascii="宋体" w:hAnsi="宋体" w:cs="宋体"/>
          <w:kern w:val="0"/>
          <w:sz w:val="24"/>
          <w:lang w:val="zh-CN"/>
        </w:rPr>
        <w:t>地址：</w:t>
      </w:r>
      <w:r>
        <w:rPr>
          <w:rFonts w:hint="eastAsia" w:ascii="宋体" w:hAnsi="宋体" w:cs="宋体"/>
          <w:kern w:val="0"/>
          <w:sz w:val="24"/>
          <w:u w:val="single"/>
          <w:lang w:val="en-US" w:eastAsia="zh-CN"/>
        </w:rPr>
        <w:t xml:space="preserve">                           </w:t>
      </w:r>
    </w:p>
    <w:p w14:paraId="1805C054">
      <w:pPr>
        <w:autoSpaceDE w:val="0"/>
        <w:autoSpaceDN w:val="0"/>
        <w:adjustRightInd w:val="0"/>
        <w:spacing w:line="360" w:lineRule="auto"/>
        <w:rPr>
          <w:rFonts w:ascii="宋体" w:hAnsi="宋体" w:cs="宋体"/>
          <w:kern w:val="0"/>
          <w:sz w:val="24"/>
          <w:lang w:val="zh-CN"/>
        </w:rPr>
      </w:pPr>
    </w:p>
    <w:p w14:paraId="62745B8C">
      <w:pPr>
        <w:autoSpaceDE w:val="0"/>
        <w:autoSpaceDN w:val="0"/>
        <w:adjustRightInd w:val="0"/>
        <w:spacing w:line="360" w:lineRule="auto"/>
        <w:rPr>
          <w:rFonts w:hint="default" w:ascii="宋体" w:hAnsi="宋体" w:eastAsia="宋体" w:cs="宋体"/>
          <w:kern w:val="0"/>
          <w:sz w:val="24"/>
          <w:u w:val="single"/>
          <w:lang w:val="en-US" w:eastAsia="zh-CN"/>
        </w:rPr>
      </w:pPr>
      <w:r>
        <w:rPr>
          <w:rFonts w:hint="eastAsia" w:ascii="宋体" w:hAnsi="宋体" w:cs="宋体"/>
          <w:kern w:val="0"/>
          <w:sz w:val="24"/>
          <w:lang w:val="zh-CN"/>
        </w:rPr>
        <w:t>身份证号码：</w:t>
      </w:r>
      <w:r>
        <w:rPr>
          <w:rFonts w:hint="eastAsia" w:ascii="宋体" w:hAnsi="宋体" w:cs="宋体"/>
          <w:kern w:val="0"/>
          <w:sz w:val="24"/>
          <w:u w:val="single"/>
          <w:lang w:val="en-US" w:eastAsia="zh-CN"/>
        </w:rPr>
        <w:t xml:space="preserve">                          </w:t>
      </w:r>
    </w:p>
    <w:p w14:paraId="3D0AF4A8">
      <w:pPr>
        <w:autoSpaceDE w:val="0"/>
        <w:autoSpaceDN w:val="0"/>
        <w:adjustRightInd w:val="0"/>
        <w:spacing w:line="360" w:lineRule="auto"/>
        <w:rPr>
          <w:rFonts w:ascii="宋体" w:hAnsi="宋体" w:cs="宋体"/>
          <w:kern w:val="0"/>
          <w:sz w:val="24"/>
          <w:lang w:val="zh-CN"/>
        </w:rPr>
      </w:pPr>
    </w:p>
    <w:p w14:paraId="28D69FE4">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附：法定代表人第二代身份证双面扫描（或复印）件</w:t>
      </w:r>
    </w:p>
    <w:p w14:paraId="1B8709BE">
      <w:pPr>
        <w:autoSpaceDE w:val="0"/>
        <w:autoSpaceDN w:val="0"/>
        <w:adjustRightInd w:val="0"/>
        <w:spacing w:line="360" w:lineRule="auto"/>
        <w:rPr>
          <w:rFonts w:ascii="宋体" w:hAnsi="宋体" w:cs="宋体"/>
          <w:kern w:val="0"/>
          <w:sz w:val="24"/>
          <w:lang w:val="zh-CN"/>
        </w:rPr>
      </w:pPr>
    </w:p>
    <w:p w14:paraId="5AB9533F">
      <w:pPr>
        <w:autoSpaceDE w:val="0"/>
        <w:autoSpaceDN w:val="0"/>
        <w:adjustRightInd w:val="0"/>
        <w:spacing w:line="360" w:lineRule="auto"/>
        <w:rPr>
          <w:rFonts w:ascii="宋体" w:hAnsi="宋体" w:cs="宋体"/>
          <w:kern w:val="0"/>
          <w:sz w:val="24"/>
          <w:lang w:val="zh-CN"/>
        </w:rPr>
      </w:pPr>
    </w:p>
    <w:p w14:paraId="4C78F830">
      <w:pPr>
        <w:autoSpaceDE w:val="0"/>
        <w:autoSpaceDN w:val="0"/>
        <w:adjustRightInd w:val="0"/>
        <w:spacing w:line="360" w:lineRule="auto"/>
        <w:rPr>
          <w:rFonts w:ascii="宋体" w:hAnsi="宋体" w:cs="宋体"/>
          <w:kern w:val="0"/>
          <w:sz w:val="24"/>
          <w:lang w:val="zh-CN"/>
        </w:rPr>
      </w:pPr>
    </w:p>
    <w:p w14:paraId="26FAFA34">
      <w:pPr>
        <w:autoSpaceDE w:val="0"/>
        <w:autoSpaceDN w:val="0"/>
        <w:adjustRightInd w:val="0"/>
        <w:spacing w:line="360" w:lineRule="auto"/>
        <w:rPr>
          <w:rFonts w:ascii="宋体" w:hAnsi="宋体" w:cs="宋体"/>
          <w:kern w:val="0"/>
          <w:sz w:val="24"/>
          <w:lang w:val="zh-CN"/>
        </w:rPr>
      </w:pPr>
    </w:p>
    <w:p w14:paraId="6ACDE111">
      <w:pPr>
        <w:autoSpaceDE w:val="0"/>
        <w:autoSpaceDN w:val="0"/>
        <w:adjustRightInd w:val="0"/>
        <w:spacing w:line="360" w:lineRule="auto"/>
        <w:rPr>
          <w:rFonts w:ascii="宋体" w:hAnsi="宋体" w:cs="宋体"/>
          <w:kern w:val="0"/>
          <w:sz w:val="24"/>
          <w:lang w:val="zh-CN"/>
        </w:rPr>
      </w:pPr>
    </w:p>
    <w:p w14:paraId="1CA92F4F">
      <w:pPr>
        <w:autoSpaceDE w:val="0"/>
        <w:autoSpaceDN w:val="0"/>
        <w:adjustRightInd w:val="0"/>
        <w:spacing w:line="360" w:lineRule="auto"/>
        <w:rPr>
          <w:rFonts w:ascii="宋体" w:hAnsi="宋体" w:cs="宋体"/>
          <w:kern w:val="0"/>
          <w:sz w:val="24"/>
          <w:lang w:val="zh-CN"/>
        </w:rPr>
      </w:pPr>
    </w:p>
    <w:p w14:paraId="15F2C54F">
      <w:pPr>
        <w:tabs>
          <w:tab w:val="left" w:pos="168"/>
        </w:tabs>
        <w:adjustRightInd w:val="0"/>
        <w:spacing w:line="360" w:lineRule="auto"/>
        <w:textAlignment w:val="baseline"/>
        <w:rPr>
          <w:rFonts w:ascii="宋体" w:hAnsi="宋体"/>
          <w:bCs/>
          <w:sz w:val="24"/>
        </w:rPr>
      </w:pPr>
      <w:bookmarkStart w:id="380" w:name="_Toc444715738"/>
      <w:bookmarkStart w:id="381" w:name="_Toc16858"/>
    </w:p>
    <w:p w14:paraId="0149C77B">
      <w:pPr>
        <w:tabs>
          <w:tab w:val="left" w:pos="168"/>
        </w:tabs>
        <w:adjustRightInd w:val="0"/>
        <w:spacing w:line="360" w:lineRule="auto"/>
        <w:jc w:val="right"/>
        <w:textAlignment w:val="baseline"/>
        <w:rPr>
          <w:rFonts w:ascii="宋体" w:hAnsi="宋体"/>
          <w:bCs/>
          <w:sz w:val="24"/>
        </w:rPr>
      </w:pPr>
      <w:r>
        <w:rPr>
          <w:rFonts w:hint="eastAsia" w:ascii="宋体" w:hAnsi="宋体"/>
          <w:bCs/>
          <w:sz w:val="24"/>
        </w:rPr>
        <w:t>供应商名称：             （公章）</w:t>
      </w:r>
    </w:p>
    <w:p w14:paraId="7F143009">
      <w:pPr>
        <w:tabs>
          <w:tab w:val="left" w:pos="168"/>
        </w:tabs>
        <w:adjustRightInd w:val="0"/>
        <w:spacing w:line="360" w:lineRule="auto"/>
        <w:jc w:val="right"/>
        <w:textAlignment w:val="baseline"/>
        <w:rPr>
          <w:rFonts w:ascii="宋体" w:hAnsi="宋体"/>
          <w:bCs/>
          <w:sz w:val="24"/>
        </w:rPr>
      </w:pPr>
      <w:r>
        <w:rPr>
          <w:rFonts w:hint="eastAsia" w:ascii="宋体" w:hAnsi="宋体"/>
          <w:bCs/>
          <w:sz w:val="24"/>
        </w:rPr>
        <w:t>法定代表人或委托代理人：                 （签字或盖章）</w:t>
      </w:r>
    </w:p>
    <w:p w14:paraId="37543420">
      <w:pPr>
        <w:tabs>
          <w:tab w:val="left" w:pos="168"/>
        </w:tabs>
        <w:adjustRightInd w:val="0"/>
        <w:spacing w:line="360" w:lineRule="auto"/>
        <w:jc w:val="right"/>
        <w:textAlignment w:val="baseline"/>
        <w:rPr>
          <w:rFonts w:ascii="宋体" w:hAnsi="宋体"/>
          <w:bCs/>
          <w:sz w:val="24"/>
        </w:rPr>
      </w:pPr>
      <w:r>
        <w:rPr>
          <w:rFonts w:hint="eastAsia" w:ascii="宋体" w:hAnsi="宋体"/>
          <w:bCs/>
          <w:sz w:val="24"/>
        </w:rPr>
        <w:t>日期：    年   月   日</w:t>
      </w:r>
    </w:p>
    <w:p w14:paraId="1DF08A53">
      <w:pPr>
        <w:pStyle w:val="4"/>
        <w:tabs>
          <w:tab w:val="left" w:pos="425"/>
        </w:tabs>
        <w:ind w:left="709" w:hanging="709"/>
        <w:rPr>
          <w:rFonts w:hAnsi="宋体"/>
          <w:szCs w:val="28"/>
        </w:rPr>
      </w:pPr>
      <w:r>
        <w:rPr>
          <w:rFonts w:hAnsi="宋体"/>
          <w:bCs/>
          <w:szCs w:val="28"/>
        </w:rPr>
        <w:br w:type="page"/>
      </w:r>
      <w:bookmarkStart w:id="382" w:name="_Toc5945"/>
      <w:bookmarkStart w:id="383" w:name="_Toc17277"/>
      <w:r>
        <w:rPr>
          <w:rFonts w:hint="eastAsia" w:hAnsi="宋体"/>
          <w:b/>
          <w:sz w:val="32"/>
          <w:lang w:val="zh-CN"/>
        </w:rPr>
        <w:t>格式3、法定代表人授权书</w:t>
      </w:r>
      <w:bookmarkEnd w:id="380"/>
      <w:bookmarkEnd w:id="381"/>
      <w:bookmarkEnd w:id="382"/>
      <w:bookmarkEnd w:id="383"/>
    </w:p>
    <w:p w14:paraId="1ADE5EE3">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法定代表人授权书</w:t>
      </w:r>
    </w:p>
    <w:p w14:paraId="6CFB73DB">
      <w:pPr>
        <w:spacing w:line="360" w:lineRule="auto"/>
        <w:rPr>
          <w:rFonts w:ascii="宋体" w:hAnsi="宋体"/>
          <w:b/>
          <w:bCs/>
          <w:sz w:val="24"/>
        </w:rPr>
      </w:pPr>
      <w:r>
        <w:rPr>
          <w:rFonts w:hint="eastAsia" w:ascii="宋体" w:hAnsi="宋体"/>
          <w:b/>
          <w:bCs/>
          <w:sz w:val="24"/>
        </w:rPr>
        <w:t>致：青海国德招标代理有限公司</w:t>
      </w:r>
    </w:p>
    <w:p w14:paraId="4614F44A">
      <w:pPr>
        <w:spacing w:line="360" w:lineRule="auto"/>
        <w:rPr>
          <w:rFonts w:ascii="宋体" w:hAnsi="宋体"/>
          <w:sz w:val="24"/>
          <w:u w:val="single"/>
        </w:rPr>
      </w:pPr>
    </w:p>
    <w:p w14:paraId="7EE4DAA0">
      <w:pPr>
        <w:spacing w:line="360" w:lineRule="auto"/>
        <w:ind w:firstLine="480" w:firstLineChars="200"/>
        <w:rPr>
          <w:rFonts w:ascii="宋体" w:hAnsi="宋体"/>
          <w:sz w:val="24"/>
        </w:rPr>
      </w:pPr>
      <w:r>
        <w:rPr>
          <w:rFonts w:hint="eastAsia" w:ascii="宋体" w:hAnsi="宋体"/>
          <w:sz w:val="24"/>
          <w:u w:val="single"/>
        </w:rPr>
        <w:t>（供应商名称）</w:t>
      </w:r>
      <w:r>
        <w:rPr>
          <w:rFonts w:hint="eastAsia" w:ascii="宋体" w:hAnsi="宋体"/>
          <w:sz w:val="24"/>
        </w:rPr>
        <w:t>系中华人民共和国合法企业，法定地址</w:t>
      </w:r>
      <w:r>
        <w:rPr>
          <w:rFonts w:hint="eastAsia" w:ascii="宋体" w:hAnsi="宋体"/>
          <w:sz w:val="24"/>
          <w:u w:val="single"/>
          <w:lang w:val="en-US" w:eastAsia="zh-CN"/>
        </w:rPr>
        <w:t xml:space="preserve">                       </w:t>
      </w:r>
      <w:r>
        <w:rPr>
          <w:rFonts w:hint="eastAsia" w:ascii="宋体" w:hAnsi="宋体"/>
          <w:sz w:val="24"/>
        </w:rPr>
        <w:t>。</w:t>
      </w:r>
    </w:p>
    <w:p w14:paraId="573DBA77">
      <w:pPr>
        <w:spacing w:line="360" w:lineRule="auto"/>
        <w:ind w:firstLine="480" w:firstLineChars="200"/>
        <w:rPr>
          <w:rFonts w:ascii="宋体" w:hAnsi="宋体"/>
          <w:sz w:val="24"/>
        </w:rPr>
      </w:pPr>
      <w:r>
        <w:rPr>
          <w:rFonts w:hint="eastAsia" w:ascii="宋体" w:hAnsi="宋体"/>
          <w:sz w:val="24"/>
          <w:u w:val="single"/>
        </w:rPr>
        <w:t>（法定代表人姓名）</w:t>
      </w:r>
      <w:r>
        <w:rPr>
          <w:rFonts w:hint="eastAsia" w:ascii="宋体" w:hAnsi="宋体"/>
          <w:sz w:val="24"/>
        </w:rPr>
        <w:t>特授权</w:t>
      </w:r>
      <w:r>
        <w:rPr>
          <w:rFonts w:hint="eastAsia" w:ascii="宋体" w:hAnsi="宋体"/>
          <w:sz w:val="24"/>
          <w:u w:val="single"/>
        </w:rPr>
        <w:t>（被授权人姓名）</w:t>
      </w:r>
      <w:r>
        <w:rPr>
          <w:rFonts w:hint="eastAsia" w:ascii="宋体" w:hAnsi="宋体"/>
          <w:sz w:val="24"/>
        </w:rPr>
        <w:t>代表我单位全权办理</w:t>
      </w:r>
      <w:r>
        <w:rPr>
          <w:rFonts w:hint="eastAsia" w:ascii="宋体" w:hAnsi="宋体"/>
          <w:sz w:val="24"/>
          <w:u w:val="single"/>
          <w:lang w:val="en-US" w:eastAsia="zh-CN"/>
        </w:rPr>
        <w:t xml:space="preserve">           </w:t>
      </w:r>
      <w:r>
        <w:rPr>
          <w:rFonts w:hint="eastAsia" w:ascii="宋体" w:hAnsi="宋体"/>
          <w:sz w:val="24"/>
        </w:rPr>
        <w:t>项目的磋商、答疑等具体工作，并签署全部有关的文件、协议及合同。</w:t>
      </w:r>
    </w:p>
    <w:p w14:paraId="63197980">
      <w:pPr>
        <w:spacing w:line="360" w:lineRule="auto"/>
        <w:ind w:firstLine="480" w:firstLineChars="200"/>
        <w:rPr>
          <w:rFonts w:ascii="宋体" w:hAnsi="宋体"/>
          <w:sz w:val="24"/>
        </w:rPr>
      </w:pPr>
      <w:r>
        <w:rPr>
          <w:rFonts w:hint="eastAsia" w:ascii="宋体" w:hAnsi="宋体"/>
          <w:sz w:val="24"/>
        </w:rPr>
        <w:t>我单位对被授权人的签名负全部责任。</w:t>
      </w:r>
    </w:p>
    <w:p w14:paraId="3E69BEDD">
      <w:pPr>
        <w:spacing w:line="360" w:lineRule="auto"/>
        <w:ind w:firstLine="480" w:firstLineChars="200"/>
        <w:rPr>
          <w:rFonts w:ascii="宋体" w:hAnsi="宋体"/>
          <w:sz w:val="24"/>
        </w:rPr>
      </w:pPr>
      <w:r>
        <w:rPr>
          <w:rFonts w:hint="eastAsia" w:ascii="宋体" w:hAnsi="宋体"/>
          <w:sz w:val="24"/>
        </w:rPr>
        <w:t>在撤销授权的书面通知以前，本授权书一直有效。被授权人签署的所有文件（在授权书有效期内签署的）不因授权的撤销而失效。</w:t>
      </w:r>
    </w:p>
    <w:p w14:paraId="53A4E155">
      <w:pPr>
        <w:autoSpaceDE w:val="0"/>
        <w:autoSpaceDN w:val="0"/>
        <w:adjustRightInd w:val="0"/>
        <w:spacing w:line="360" w:lineRule="auto"/>
        <w:ind w:firstLine="480" w:firstLineChars="200"/>
        <w:rPr>
          <w:rFonts w:ascii="宋体" w:hAnsi="宋体" w:cs="宋体"/>
          <w:kern w:val="0"/>
          <w:sz w:val="24"/>
          <w:lang w:val="zh-CN"/>
        </w:rPr>
      </w:pPr>
    </w:p>
    <w:p w14:paraId="59B2CE57">
      <w:pPr>
        <w:spacing w:line="360" w:lineRule="auto"/>
        <w:rPr>
          <w:rFonts w:ascii="宋体" w:hAnsi="宋体"/>
          <w:sz w:val="24"/>
        </w:rPr>
      </w:pPr>
    </w:p>
    <w:p w14:paraId="25CAC76A">
      <w:pPr>
        <w:spacing w:line="360" w:lineRule="auto"/>
        <w:rPr>
          <w:rFonts w:hint="default" w:ascii="宋体" w:hAnsi="宋体" w:eastAsia="宋体"/>
          <w:sz w:val="24"/>
          <w:u w:val="single"/>
          <w:lang w:val="en-US" w:eastAsia="zh-CN"/>
        </w:rPr>
      </w:pPr>
      <w:r>
        <w:rPr>
          <w:rFonts w:ascii="宋体" w:hAnsi="宋体"/>
          <w:sz w:val="24"/>
        </w:rPr>
        <w:t>被授权人联系电话</w:t>
      </w:r>
      <w:r>
        <w:rPr>
          <w:rFonts w:hint="eastAsia" w:ascii="宋体" w:hAnsi="宋体"/>
          <w:sz w:val="24"/>
        </w:rPr>
        <w:t>：</w:t>
      </w:r>
      <w:r>
        <w:rPr>
          <w:rFonts w:hint="eastAsia" w:ascii="宋体" w:hAnsi="宋体"/>
          <w:sz w:val="24"/>
          <w:u w:val="single"/>
          <w:lang w:val="en-US" w:eastAsia="zh-CN"/>
        </w:rPr>
        <w:t xml:space="preserve">                  </w:t>
      </w:r>
      <w:r>
        <w:rPr>
          <w:rFonts w:hint="eastAsia" w:ascii="宋体" w:hAnsi="宋体"/>
          <w:sz w:val="24"/>
          <w:lang w:val="en-US" w:eastAsia="zh-CN"/>
        </w:rPr>
        <w:t xml:space="preserve">   </w:t>
      </w:r>
    </w:p>
    <w:p w14:paraId="09556829">
      <w:pPr>
        <w:spacing w:line="360" w:lineRule="auto"/>
        <w:rPr>
          <w:rFonts w:hint="default" w:ascii="宋体" w:hAnsi="宋体" w:eastAsia="宋体"/>
          <w:sz w:val="24"/>
          <w:u w:val="single"/>
          <w:lang w:val="en-US" w:eastAsia="zh-CN"/>
        </w:rPr>
      </w:pPr>
      <w:r>
        <w:rPr>
          <w:rFonts w:hint="eastAsia" w:ascii="宋体" w:hAnsi="宋体"/>
          <w:sz w:val="24"/>
        </w:rPr>
        <w:t>被授权人（委托代理人）签名：</w:t>
      </w:r>
      <w:r>
        <w:rPr>
          <w:rFonts w:hint="eastAsia" w:ascii="宋体" w:hAnsi="宋体"/>
          <w:sz w:val="24"/>
          <w:u w:val="single"/>
          <w:lang w:val="en-US" w:eastAsia="zh-CN"/>
        </w:rPr>
        <w:t xml:space="preserve">             </w:t>
      </w:r>
      <w:r>
        <w:rPr>
          <w:rFonts w:hint="eastAsia" w:ascii="宋体" w:hAnsi="宋体"/>
          <w:sz w:val="24"/>
        </w:rPr>
        <w:t xml:space="preserve">   授权人（法定代表人）签名：</w:t>
      </w:r>
      <w:r>
        <w:rPr>
          <w:rFonts w:hint="eastAsia" w:ascii="宋体" w:hAnsi="宋体"/>
          <w:sz w:val="24"/>
          <w:u w:val="single"/>
          <w:lang w:val="en-US" w:eastAsia="zh-CN"/>
        </w:rPr>
        <w:t xml:space="preserve">            </w:t>
      </w:r>
    </w:p>
    <w:p w14:paraId="72473CC7">
      <w:pPr>
        <w:spacing w:line="360" w:lineRule="auto"/>
        <w:rPr>
          <w:rFonts w:hint="default" w:ascii="宋体" w:hAnsi="宋体" w:eastAsia="宋体"/>
          <w:sz w:val="24"/>
          <w:u w:val="single"/>
          <w:lang w:val="en-US" w:eastAsia="zh-CN"/>
        </w:rPr>
      </w:pPr>
      <w:r>
        <w:rPr>
          <w:rFonts w:hint="eastAsia" w:ascii="宋体" w:hAnsi="宋体"/>
          <w:sz w:val="24"/>
        </w:rPr>
        <w:t>职务：</w:t>
      </w:r>
      <w:r>
        <w:rPr>
          <w:rFonts w:hint="eastAsia" w:ascii="宋体" w:hAnsi="宋体"/>
          <w:sz w:val="24"/>
          <w:u w:val="single"/>
          <w:lang w:val="en-US" w:eastAsia="zh-CN"/>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 职务：</w:t>
      </w:r>
      <w:r>
        <w:rPr>
          <w:rFonts w:hint="eastAsia" w:ascii="宋体" w:hAnsi="宋体"/>
          <w:sz w:val="24"/>
          <w:u w:val="single"/>
          <w:lang w:val="en-US" w:eastAsia="zh-CN"/>
        </w:rPr>
        <w:t xml:space="preserve">             </w:t>
      </w:r>
    </w:p>
    <w:p w14:paraId="6149E0FB">
      <w:pPr>
        <w:spacing w:line="360" w:lineRule="auto"/>
        <w:rPr>
          <w:rFonts w:ascii="宋体" w:hAnsi="宋体"/>
          <w:sz w:val="24"/>
        </w:rPr>
      </w:pPr>
      <w:r>
        <w:rPr>
          <w:rFonts w:hint="eastAsia" w:ascii="宋体" w:hAnsi="宋体"/>
          <w:sz w:val="24"/>
        </w:rPr>
        <w:t>附：被授权人身份证正、反面扫描（或复印）件</w:t>
      </w:r>
    </w:p>
    <w:p w14:paraId="75254EC0">
      <w:pPr>
        <w:tabs>
          <w:tab w:val="left" w:pos="168"/>
        </w:tabs>
        <w:adjustRightInd w:val="0"/>
        <w:spacing w:line="360" w:lineRule="auto"/>
        <w:textAlignment w:val="baseline"/>
        <w:rPr>
          <w:rFonts w:ascii="宋体" w:hAnsi="宋体"/>
          <w:bCs/>
          <w:sz w:val="28"/>
          <w:szCs w:val="28"/>
        </w:rPr>
      </w:pPr>
    </w:p>
    <w:p w14:paraId="6BB3678D">
      <w:pPr>
        <w:tabs>
          <w:tab w:val="left" w:pos="168"/>
        </w:tabs>
        <w:adjustRightInd w:val="0"/>
        <w:spacing w:line="360" w:lineRule="auto"/>
        <w:textAlignment w:val="baseline"/>
        <w:rPr>
          <w:rFonts w:ascii="宋体" w:hAnsi="宋体"/>
          <w:bCs/>
          <w:sz w:val="28"/>
          <w:szCs w:val="28"/>
        </w:rPr>
      </w:pPr>
    </w:p>
    <w:p w14:paraId="1AB5D702">
      <w:pPr>
        <w:tabs>
          <w:tab w:val="left" w:pos="168"/>
        </w:tabs>
        <w:adjustRightInd w:val="0"/>
        <w:spacing w:line="360" w:lineRule="auto"/>
        <w:textAlignment w:val="baseline"/>
        <w:rPr>
          <w:rFonts w:ascii="宋体" w:hAnsi="宋体"/>
          <w:bCs/>
          <w:sz w:val="28"/>
          <w:szCs w:val="28"/>
        </w:rPr>
      </w:pPr>
    </w:p>
    <w:p w14:paraId="2955CE1F">
      <w:pPr>
        <w:tabs>
          <w:tab w:val="left" w:pos="168"/>
        </w:tabs>
        <w:adjustRightInd w:val="0"/>
        <w:spacing w:line="360" w:lineRule="auto"/>
        <w:textAlignment w:val="baseline"/>
        <w:rPr>
          <w:rFonts w:ascii="宋体" w:hAnsi="宋体"/>
          <w:bCs/>
          <w:sz w:val="28"/>
          <w:szCs w:val="28"/>
        </w:rPr>
      </w:pPr>
    </w:p>
    <w:p w14:paraId="51C9F60D">
      <w:pPr>
        <w:tabs>
          <w:tab w:val="left" w:pos="168"/>
        </w:tabs>
        <w:adjustRightInd w:val="0"/>
        <w:spacing w:line="360" w:lineRule="auto"/>
        <w:textAlignment w:val="baseline"/>
        <w:rPr>
          <w:rFonts w:ascii="宋体" w:hAnsi="宋体"/>
          <w:bCs/>
          <w:sz w:val="28"/>
          <w:szCs w:val="28"/>
        </w:rPr>
      </w:pPr>
    </w:p>
    <w:p w14:paraId="2A1747C7">
      <w:pPr>
        <w:tabs>
          <w:tab w:val="left" w:pos="168"/>
        </w:tabs>
        <w:adjustRightInd w:val="0"/>
        <w:spacing w:line="360" w:lineRule="auto"/>
        <w:textAlignment w:val="baseline"/>
        <w:rPr>
          <w:rFonts w:ascii="宋体" w:hAnsi="宋体"/>
          <w:bCs/>
          <w:sz w:val="28"/>
          <w:szCs w:val="28"/>
        </w:rPr>
      </w:pPr>
    </w:p>
    <w:p w14:paraId="683458D3">
      <w:pPr>
        <w:tabs>
          <w:tab w:val="left" w:pos="168"/>
        </w:tabs>
        <w:adjustRightInd w:val="0"/>
        <w:spacing w:line="360" w:lineRule="auto"/>
        <w:textAlignment w:val="baseline"/>
        <w:rPr>
          <w:rFonts w:ascii="宋体" w:hAnsi="宋体"/>
          <w:bCs/>
          <w:sz w:val="28"/>
          <w:szCs w:val="28"/>
        </w:rPr>
      </w:pPr>
    </w:p>
    <w:p w14:paraId="4C353913">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168C582A">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65F577A0">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日期：    年   月   日</w:t>
      </w:r>
    </w:p>
    <w:p w14:paraId="2576A20D">
      <w:pPr>
        <w:pStyle w:val="4"/>
        <w:tabs>
          <w:tab w:val="left" w:pos="425"/>
        </w:tabs>
        <w:ind w:left="709" w:hanging="709"/>
        <w:rPr>
          <w:rFonts w:hAnsi="宋体"/>
          <w:lang w:val="zh-CN"/>
        </w:rPr>
      </w:pPr>
      <w:r>
        <w:rPr>
          <w:rFonts w:hAnsi="宋体"/>
          <w:bCs/>
          <w:sz w:val="24"/>
        </w:rPr>
        <w:br w:type="page"/>
      </w:r>
      <w:bookmarkStart w:id="384" w:name="_Toc11419"/>
      <w:bookmarkStart w:id="385" w:name="_Toc18106"/>
      <w:r>
        <w:rPr>
          <w:rFonts w:hint="eastAsia" w:hAnsi="宋体"/>
          <w:b/>
          <w:sz w:val="32"/>
          <w:lang w:val="zh-CN"/>
        </w:rPr>
        <w:t>格式4、磋商供应商承诺书</w:t>
      </w:r>
      <w:bookmarkEnd w:id="384"/>
      <w:bookmarkEnd w:id="385"/>
    </w:p>
    <w:p w14:paraId="0A8F7511">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磋商供应商承诺书</w:t>
      </w:r>
    </w:p>
    <w:p w14:paraId="01E2B23A">
      <w:pPr>
        <w:spacing w:line="360" w:lineRule="auto"/>
        <w:rPr>
          <w:rFonts w:ascii="宋体" w:hAnsi="宋体"/>
          <w:b/>
          <w:bCs/>
          <w:sz w:val="24"/>
          <w:szCs w:val="28"/>
        </w:rPr>
      </w:pPr>
      <w:r>
        <w:rPr>
          <w:rFonts w:hint="eastAsia" w:ascii="宋体" w:hAnsi="宋体"/>
          <w:b/>
          <w:bCs/>
          <w:sz w:val="24"/>
          <w:szCs w:val="28"/>
        </w:rPr>
        <w:t>致：青海国德招标代理有限公司</w:t>
      </w:r>
    </w:p>
    <w:p w14:paraId="304A61B6">
      <w:pPr>
        <w:spacing w:line="360" w:lineRule="auto"/>
        <w:rPr>
          <w:rFonts w:ascii="宋体" w:hAnsi="宋体"/>
          <w:sz w:val="24"/>
          <w:szCs w:val="28"/>
        </w:rPr>
      </w:pPr>
    </w:p>
    <w:p w14:paraId="2104ED2A">
      <w:pPr>
        <w:spacing w:line="360" w:lineRule="auto"/>
        <w:ind w:firstLine="480" w:firstLineChars="200"/>
        <w:rPr>
          <w:rFonts w:ascii="宋体" w:hAnsi="宋体"/>
          <w:sz w:val="24"/>
          <w:szCs w:val="28"/>
        </w:rPr>
      </w:pPr>
      <w:r>
        <w:rPr>
          <w:rFonts w:hint="eastAsia" w:ascii="宋体" w:hAnsi="宋体"/>
          <w:sz w:val="24"/>
          <w:szCs w:val="28"/>
        </w:rPr>
        <w:t>关于贵方202</w:t>
      </w:r>
      <w:r>
        <w:rPr>
          <w:rFonts w:hint="eastAsia" w:ascii="宋体" w:hAnsi="宋体"/>
          <w:sz w:val="24"/>
          <w:szCs w:val="28"/>
          <w:lang w:val="en-US" w:eastAsia="zh-CN"/>
        </w:rPr>
        <w:t>5</w:t>
      </w:r>
      <w:r>
        <w:rPr>
          <w:rFonts w:hint="eastAsia" w:ascii="宋体" w:hAnsi="宋体"/>
          <w:sz w:val="24"/>
          <w:szCs w:val="28"/>
        </w:rPr>
        <w:t>年</w:t>
      </w:r>
      <w:r>
        <w:rPr>
          <w:rFonts w:hint="eastAsia" w:ascii="宋体" w:hAnsi="宋体"/>
          <w:sz w:val="24"/>
          <w:szCs w:val="28"/>
          <w:u w:val="single"/>
          <w:lang w:val="en-US" w:eastAsia="zh-CN"/>
        </w:rPr>
        <w:t xml:space="preserve">  </w:t>
      </w:r>
      <w:r>
        <w:rPr>
          <w:rFonts w:hint="eastAsia" w:ascii="宋体" w:hAnsi="宋体"/>
          <w:sz w:val="24"/>
          <w:szCs w:val="28"/>
        </w:rPr>
        <w:t>月</w:t>
      </w:r>
      <w:r>
        <w:rPr>
          <w:rFonts w:hint="eastAsia" w:ascii="宋体" w:hAnsi="宋体"/>
          <w:sz w:val="24"/>
          <w:szCs w:val="28"/>
          <w:u w:val="single"/>
          <w:lang w:val="en-US" w:eastAsia="zh-CN"/>
        </w:rPr>
        <w:t xml:space="preserve">   </w:t>
      </w:r>
      <w:r>
        <w:rPr>
          <w:rFonts w:hint="eastAsia" w:ascii="宋体" w:hAnsi="宋体"/>
          <w:sz w:val="24"/>
          <w:szCs w:val="28"/>
        </w:rPr>
        <w:t>日</w:t>
      </w:r>
      <w:r>
        <w:rPr>
          <w:rFonts w:hint="eastAsia" w:ascii="宋体" w:hAnsi="宋体"/>
          <w:sz w:val="24"/>
          <w:u w:val="single"/>
          <w:lang w:eastAsia="zh-CN"/>
        </w:rPr>
        <w:t>青海省养老服务中心食堂餐饮管理服务项目</w:t>
      </w:r>
      <w:r>
        <w:rPr>
          <w:rFonts w:hint="eastAsia" w:ascii="宋体" w:hAnsi="宋体"/>
          <w:sz w:val="24"/>
          <w:szCs w:val="28"/>
        </w:rPr>
        <w:t>采购项目，本签字人愿意参加磋商，提供服务要求的所有服务，并证实提交的所有资料是准确的和真实的。同时，我代表</w:t>
      </w:r>
      <w:r>
        <w:rPr>
          <w:rFonts w:hint="eastAsia" w:ascii="宋体" w:hAnsi="宋体"/>
          <w:sz w:val="24"/>
          <w:szCs w:val="28"/>
          <w:u w:val="single"/>
        </w:rPr>
        <w:t>（磋商供应商名称）</w:t>
      </w:r>
      <w:r>
        <w:rPr>
          <w:rFonts w:hint="eastAsia" w:ascii="宋体" w:hAnsi="宋体"/>
          <w:sz w:val="24"/>
          <w:szCs w:val="28"/>
        </w:rPr>
        <w:t>，在此作如下承诺：</w:t>
      </w:r>
    </w:p>
    <w:p w14:paraId="1EBC2986">
      <w:pPr>
        <w:spacing w:line="360" w:lineRule="auto"/>
        <w:ind w:firstLine="480" w:firstLineChars="200"/>
        <w:outlineLvl w:val="2"/>
        <w:rPr>
          <w:rFonts w:ascii="宋体" w:hAnsi="宋体"/>
          <w:sz w:val="24"/>
          <w:szCs w:val="28"/>
        </w:rPr>
      </w:pPr>
      <w:bookmarkStart w:id="386" w:name="_Toc10902"/>
      <w:r>
        <w:rPr>
          <w:rFonts w:ascii="宋体" w:hAnsi="宋体"/>
          <w:sz w:val="24"/>
          <w:szCs w:val="28"/>
        </w:rPr>
        <w:t>1</w:t>
      </w:r>
      <w:r>
        <w:rPr>
          <w:rFonts w:hint="eastAsia" w:ascii="宋体" w:hAnsi="宋体"/>
          <w:sz w:val="24"/>
          <w:szCs w:val="28"/>
        </w:rPr>
        <w:t>、完全理解和接受磋商文件的一切规定和要求；</w:t>
      </w:r>
      <w:bookmarkEnd w:id="386"/>
    </w:p>
    <w:p w14:paraId="3819AEE4">
      <w:pPr>
        <w:spacing w:line="360" w:lineRule="auto"/>
        <w:ind w:firstLine="480" w:firstLineChars="200"/>
        <w:rPr>
          <w:rFonts w:ascii="宋体" w:hAnsi="宋体"/>
          <w:sz w:val="24"/>
          <w:szCs w:val="28"/>
        </w:rPr>
      </w:pPr>
      <w:r>
        <w:rPr>
          <w:rFonts w:ascii="宋体" w:hAnsi="宋体"/>
          <w:sz w:val="24"/>
          <w:szCs w:val="28"/>
        </w:rPr>
        <w:t>2</w:t>
      </w:r>
      <w:r>
        <w:rPr>
          <w:rFonts w:hint="eastAsia" w:ascii="宋体" w:hAnsi="宋体"/>
          <w:sz w:val="24"/>
          <w:szCs w:val="28"/>
        </w:rPr>
        <w:t>、若中标，我方将按照磋商文件的具体规定与采购单位签订合同，并且严格履行合同义务，按时服务，提供优质的服务。如果在合同执行过程中，发现服务出现问题，我方一定尽快解决，并承担相应的经济责任；</w:t>
      </w:r>
    </w:p>
    <w:p w14:paraId="694541BD">
      <w:pPr>
        <w:spacing w:line="360" w:lineRule="auto"/>
        <w:ind w:firstLine="480" w:firstLineChars="200"/>
        <w:rPr>
          <w:rFonts w:ascii="宋体" w:hAnsi="宋体"/>
          <w:sz w:val="24"/>
          <w:szCs w:val="28"/>
        </w:rPr>
      </w:pPr>
      <w:r>
        <w:rPr>
          <w:rFonts w:ascii="宋体" w:hAnsi="宋体"/>
          <w:sz w:val="24"/>
          <w:szCs w:val="28"/>
        </w:rPr>
        <w:t>3</w:t>
      </w:r>
      <w:r>
        <w:rPr>
          <w:rFonts w:hint="eastAsia" w:ascii="宋体" w:hAnsi="宋体"/>
          <w:sz w:val="24"/>
          <w:szCs w:val="28"/>
        </w:rPr>
        <w:t>、在整个磋商过程中我方若有违规行为，贵方可按磋商文件之规定给予惩罚，我方完全接受。</w:t>
      </w:r>
    </w:p>
    <w:p w14:paraId="7DFED7B7">
      <w:pPr>
        <w:spacing w:line="360" w:lineRule="auto"/>
        <w:ind w:firstLine="480" w:firstLineChars="200"/>
        <w:rPr>
          <w:rFonts w:ascii="宋体" w:hAnsi="宋体"/>
          <w:sz w:val="24"/>
          <w:szCs w:val="28"/>
        </w:rPr>
      </w:pPr>
      <w:r>
        <w:rPr>
          <w:rFonts w:ascii="宋体" w:hAnsi="宋体"/>
          <w:sz w:val="24"/>
          <w:szCs w:val="28"/>
        </w:rPr>
        <w:t>4</w:t>
      </w:r>
      <w:r>
        <w:rPr>
          <w:rFonts w:hint="eastAsia" w:ascii="宋体" w:hAnsi="宋体"/>
          <w:sz w:val="24"/>
          <w:szCs w:val="28"/>
        </w:rPr>
        <w:t>、若中标，本承诺将成为合同不可分割的一部分，与合同具有同等的法律效力。</w:t>
      </w:r>
    </w:p>
    <w:p w14:paraId="4A905092">
      <w:pPr>
        <w:tabs>
          <w:tab w:val="left" w:pos="168"/>
        </w:tabs>
        <w:adjustRightInd w:val="0"/>
        <w:spacing w:line="360" w:lineRule="auto"/>
        <w:ind w:firstLine="560" w:firstLineChars="200"/>
        <w:textAlignment w:val="baseline"/>
        <w:rPr>
          <w:rFonts w:ascii="宋体" w:hAnsi="宋体"/>
          <w:bCs/>
          <w:sz w:val="28"/>
          <w:szCs w:val="28"/>
        </w:rPr>
      </w:pPr>
    </w:p>
    <w:p w14:paraId="7D551D7F">
      <w:pPr>
        <w:tabs>
          <w:tab w:val="left" w:pos="168"/>
        </w:tabs>
        <w:adjustRightInd w:val="0"/>
        <w:spacing w:line="360" w:lineRule="auto"/>
        <w:ind w:firstLine="560" w:firstLineChars="200"/>
        <w:textAlignment w:val="baseline"/>
        <w:rPr>
          <w:rFonts w:ascii="宋体" w:hAnsi="宋体"/>
          <w:bCs/>
          <w:sz w:val="28"/>
          <w:szCs w:val="28"/>
        </w:rPr>
      </w:pPr>
    </w:p>
    <w:p w14:paraId="54084D0A">
      <w:pPr>
        <w:tabs>
          <w:tab w:val="left" w:pos="168"/>
        </w:tabs>
        <w:adjustRightInd w:val="0"/>
        <w:spacing w:line="360" w:lineRule="auto"/>
        <w:ind w:firstLine="560" w:firstLineChars="200"/>
        <w:textAlignment w:val="baseline"/>
        <w:rPr>
          <w:rFonts w:ascii="宋体" w:hAnsi="宋体"/>
          <w:bCs/>
          <w:sz w:val="28"/>
          <w:szCs w:val="28"/>
        </w:rPr>
      </w:pPr>
    </w:p>
    <w:p w14:paraId="55975099">
      <w:pPr>
        <w:tabs>
          <w:tab w:val="left" w:pos="168"/>
        </w:tabs>
        <w:adjustRightInd w:val="0"/>
        <w:spacing w:line="360" w:lineRule="auto"/>
        <w:ind w:firstLine="560" w:firstLineChars="200"/>
        <w:textAlignment w:val="baseline"/>
        <w:rPr>
          <w:rFonts w:ascii="宋体" w:hAnsi="宋体"/>
          <w:bCs/>
          <w:sz w:val="28"/>
          <w:szCs w:val="28"/>
        </w:rPr>
      </w:pPr>
    </w:p>
    <w:p w14:paraId="65B31667">
      <w:pPr>
        <w:tabs>
          <w:tab w:val="left" w:pos="168"/>
        </w:tabs>
        <w:adjustRightInd w:val="0"/>
        <w:spacing w:line="360" w:lineRule="auto"/>
        <w:ind w:firstLine="560" w:firstLineChars="200"/>
        <w:textAlignment w:val="baseline"/>
        <w:rPr>
          <w:rFonts w:ascii="宋体" w:hAnsi="宋体"/>
          <w:bCs/>
          <w:sz w:val="28"/>
          <w:szCs w:val="28"/>
        </w:rPr>
      </w:pPr>
    </w:p>
    <w:p w14:paraId="370C76D3">
      <w:pPr>
        <w:tabs>
          <w:tab w:val="left" w:pos="168"/>
        </w:tabs>
        <w:adjustRightInd w:val="0"/>
        <w:spacing w:line="360" w:lineRule="auto"/>
        <w:ind w:firstLine="560" w:firstLineChars="200"/>
        <w:textAlignment w:val="baseline"/>
        <w:rPr>
          <w:rFonts w:ascii="宋体" w:hAnsi="宋体"/>
          <w:bCs/>
          <w:sz w:val="28"/>
          <w:szCs w:val="28"/>
        </w:rPr>
      </w:pPr>
    </w:p>
    <w:p w14:paraId="01354CE2">
      <w:pPr>
        <w:tabs>
          <w:tab w:val="left" w:pos="168"/>
        </w:tabs>
        <w:adjustRightInd w:val="0"/>
        <w:spacing w:line="360" w:lineRule="auto"/>
        <w:ind w:firstLine="560" w:firstLineChars="200"/>
        <w:textAlignment w:val="baseline"/>
        <w:rPr>
          <w:rFonts w:ascii="宋体" w:hAnsi="宋体"/>
          <w:bCs/>
          <w:sz w:val="28"/>
          <w:szCs w:val="28"/>
        </w:rPr>
      </w:pPr>
    </w:p>
    <w:p w14:paraId="7623B14B">
      <w:pPr>
        <w:tabs>
          <w:tab w:val="left" w:pos="168"/>
        </w:tabs>
        <w:adjustRightInd w:val="0"/>
        <w:spacing w:line="360" w:lineRule="auto"/>
        <w:ind w:firstLine="560" w:firstLineChars="200"/>
        <w:textAlignment w:val="baseline"/>
        <w:rPr>
          <w:rFonts w:ascii="宋体" w:hAnsi="宋体"/>
          <w:bCs/>
          <w:sz w:val="28"/>
          <w:szCs w:val="28"/>
        </w:rPr>
      </w:pPr>
    </w:p>
    <w:p w14:paraId="78D448D8">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7658B58D">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5869AE02">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日期：    年   月   日</w:t>
      </w:r>
    </w:p>
    <w:p w14:paraId="517A29A4">
      <w:pPr>
        <w:tabs>
          <w:tab w:val="left" w:pos="168"/>
        </w:tabs>
        <w:adjustRightInd w:val="0"/>
        <w:spacing w:line="360" w:lineRule="auto"/>
        <w:jc w:val="right"/>
        <w:textAlignment w:val="baseline"/>
        <w:rPr>
          <w:rFonts w:ascii="宋体" w:hAnsi="宋体"/>
          <w:bCs/>
          <w:sz w:val="24"/>
          <w:szCs w:val="28"/>
        </w:rPr>
      </w:pPr>
    </w:p>
    <w:p w14:paraId="686328D8">
      <w:pPr>
        <w:pStyle w:val="4"/>
        <w:tabs>
          <w:tab w:val="left" w:pos="425"/>
        </w:tabs>
        <w:ind w:left="709" w:hanging="709"/>
        <w:rPr>
          <w:rFonts w:hAnsi="宋体"/>
          <w:lang w:val="zh-CN"/>
        </w:rPr>
      </w:pPr>
      <w:r>
        <w:rPr>
          <w:rFonts w:hAnsi="宋体"/>
          <w:bCs/>
          <w:sz w:val="24"/>
        </w:rPr>
        <w:br w:type="page"/>
      </w:r>
      <w:bookmarkStart w:id="387" w:name="_Toc4923"/>
      <w:bookmarkStart w:id="388" w:name="_Toc27072"/>
      <w:r>
        <w:rPr>
          <w:rFonts w:hint="eastAsia" w:hAnsi="宋体"/>
          <w:b/>
          <w:sz w:val="32"/>
          <w:lang w:val="zh-CN"/>
        </w:rPr>
        <w:t>格式5、供应商诚信承诺书</w:t>
      </w:r>
      <w:bookmarkEnd w:id="387"/>
      <w:bookmarkEnd w:id="388"/>
    </w:p>
    <w:p w14:paraId="742EC595">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供应商诚信承诺书</w:t>
      </w:r>
    </w:p>
    <w:p w14:paraId="086C37F1">
      <w:pPr>
        <w:autoSpaceDE w:val="0"/>
        <w:autoSpaceDN w:val="0"/>
        <w:adjustRightInd w:val="0"/>
        <w:spacing w:line="360" w:lineRule="auto"/>
        <w:rPr>
          <w:rFonts w:ascii="宋体" w:hAnsi="宋体" w:cs="宋体"/>
          <w:kern w:val="0"/>
          <w:sz w:val="24"/>
          <w:lang w:val="zh-CN"/>
        </w:rPr>
      </w:pPr>
    </w:p>
    <w:p w14:paraId="61CE41A0">
      <w:pPr>
        <w:autoSpaceDE w:val="0"/>
        <w:autoSpaceDN w:val="0"/>
        <w:adjustRightInd w:val="0"/>
        <w:spacing w:line="360" w:lineRule="auto"/>
        <w:rPr>
          <w:rFonts w:ascii="宋体" w:hAnsi="宋体" w:cs="宋体"/>
          <w:b/>
          <w:bCs/>
          <w:kern w:val="0"/>
          <w:sz w:val="24"/>
          <w:lang w:val="zh-CN"/>
        </w:rPr>
      </w:pPr>
      <w:r>
        <w:rPr>
          <w:rFonts w:hint="eastAsia" w:ascii="宋体" w:hAnsi="宋体" w:cs="宋体"/>
          <w:b/>
          <w:bCs/>
          <w:kern w:val="0"/>
          <w:sz w:val="24"/>
          <w:lang w:val="zh-CN"/>
        </w:rPr>
        <w:t>致：青海国德招标代理有限公司</w:t>
      </w:r>
    </w:p>
    <w:p w14:paraId="734F4815">
      <w:pPr>
        <w:autoSpaceDE w:val="0"/>
        <w:autoSpaceDN w:val="0"/>
        <w:adjustRightInd w:val="0"/>
        <w:spacing w:line="360" w:lineRule="auto"/>
        <w:rPr>
          <w:rFonts w:ascii="宋体" w:hAnsi="宋体" w:cs="宋体"/>
          <w:kern w:val="0"/>
          <w:sz w:val="24"/>
          <w:lang w:val="zh-CN"/>
        </w:rPr>
      </w:pPr>
    </w:p>
    <w:p w14:paraId="0162C2BA">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为了诚实、客观、有序地参与青海省政府采购活动，愿就以下内容做出承诺：</w:t>
      </w:r>
    </w:p>
    <w:p w14:paraId="778B4548">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一、自觉遵守各项法律、法规、规章、制度以及社会公德，维护廉洁环境，与同场竞争的供应商平等参加政府采购活动。</w:t>
      </w:r>
    </w:p>
    <w:p w14:paraId="407F3FC2">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二、参加采购代理机构组织的政府采购活动时，严格按照磋商文件的规定和要求提供所需的相关材料，并对所提供的各类资料的真实性负责，不虚假应标，不虚列业绩。</w:t>
      </w:r>
    </w:p>
    <w:p w14:paraId="662BA81D">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三、尊重参与政府采购活动各相关方的合法行为，接受政府采购活动依法形成的意见、结果。</w:t>
      </w:r>
    </w:p>
    <w:p w14:paraId="73F2EA3F">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四、依法参加政府采购活动，不围标、串标，维护市场秩序。</w:t>
      </w:r>
    </w:p>
    <w:p w14:paraId="262CFB1E">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五、积极推动政府采购活动健康开展，对采购活动有疑问、异议时，按法律规定的程序实名（加盖单位章和法定代表人签名）反映情况，不恶意中伤、无事生非，以和谐、平等的心态参加政府采购活动。</w:t>
      </w:r>
    </w:p>
    <w:p w14:paraId="508D378C">
      <w:pPr>
        <w:autoSpaceDE w:val="0"/>
        <w:autoSpaceDN w:val="0"/>
        <w:adjustRightInd w:val="0"/>
        <w:spacing w:line="360" w:lineRule="auto"/>
        <w:ind w:firstLine="480"/>
        <w:rPr>
          <w:rFonts w:ascii="宋体" w:hAnsi="宋体" w:cs="宋体"/>
          <w:kern w:val="0"/>
          <w:sz w:val="24"/>
          <w:lang w:val="zh-CN"/>
        </w:rPr>
      </w:pPr>
      <w:r>
        <w:rPr>
          <w:rFonts w:hint="eastAsia" w:ascii="宋体" w:hAnsi="宋体" w:cs="宋体"/>
          <w:kern w:val="0"/>
          <w:sz w:val="24"/>
          <w:lang w:val="zh-CN"/>
        </w:rPr>
        <w:t>六、认真履行中标人应承担的责任和义务，全面执行采购合同规定的各项内容，保质保量地按时提供采购服务。</w:t>
      </w:r>
    </w:p>
    <w:p w14:paraId="6B0A2D33">
      <w:pPr>
        <w:autoSpaceDE w:val="0"/>
        <w:autoSpaceDN w:val="0"/>
        <w:adjustRightInd w:val="0"/>
        <w:spacing w:line="360" w:lineRule="auto"/>
        <w:ind w:firstLine="480" w:firstLineChars="200"/>
        <w:rPr>
          <w:rFonts w:ascii="宋体" w:hAnsi="宋体" w:cs="宋体"/>
          <w:kern w:val="0"/>
          <w:sz w:val="24"/>
          <w:lang w:val="zh-CN"/>
        </w:rPr>
      </w:pPr>
      <w:r>
        <w:rPr>
          <w:rFonts w:hint="eastAsia" w:ascii="宋体" w:hAnsi="宋体" w:cs="宋体"/>
          <w:kern w:val="0"/>
          <w:sz w:val="24"/>
          <w:lang w:val="zh-CN"/>
        </w:rPr>
        <w:t>若本企业（单位）发生有悖于上述承诺的行为，愿意接受《中华人民共和国政府采购法》和《政府采购法实施条例》中对供应商的相关处理。</w:t>
      </w:r>
    </w:p>
    <w:p w14:paraId="550DDA5D">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本承诺是采购项目磋商文件的组成部分。</w:t>
      </w:r>
    </w:p>
    <w:p w14:paraId="3248A364">
      <w:pPr>
        <w:autoSpaceDE w:val="0"/>
        <w:autoSpaceDN w:val="0"/>
        <w:adjustRightInd w:val="0"/>
        <w:spacing w:line="360" w:lineRule="auto"/>
        <w:rPr>
          <w:rFonts w:ascii="宋体" w:hAnsi="宋体" w:cs="宋体"/>
          <w:kern w:val="0"/>
          <w:sz w:val="24"/>
          <w:lang w:val="zh-CN"/>
        </w:rPr>
      </w:pPr>
    </w:p>
    <w:p w14:paraId="78603B50">
      <w:pPr>
        <w:autoSpaceDE w:val="0"/>
        <w:autoSpaceDN w:val="0"/>
        <w:adjustRightInd w:val="0"/>
        <w:spacing w:line="360" w:lineRule="auto"/>
        <w:rPr>
          <w:rFonts w:ascii="宋体" w:hAnsi="宋体" w:cs="宋体"/>
          <w:kern w:val="0"/>
          <w:sz w:val="24"/>
          <w:lang w:val="zh-CN"/>
        </w:rPr>
      </w:pPr>
    </w:p>
    <w:p w14:paraId="23C86A19">
      <w:pPr>
        <w:tabs>
          <w:tab w:val="left" w:pos="168"/>
        </w:tabs>
        <w:adjustRightInd w:val="0"/>
        <w:spacing w:line="360" w:lineRule="auto"/>
        <w:textAlignment w:val="baseline"/>
        <w:rPr>
          <w:rFonts w:ascii="宋体" w:hAnsi="宋体"/>
          <w:bCs/>
          <w:sz w:val="28"/>
          <w:szCs w:val="28"/>
        </w:rPr>
      </w:pPr>
      <w:bookmarkStart w:id="389" w:name="_Toc444715739"/>
      <w:bookmarkStart w:id="390" w:name="_Toc17097"/>
    </w:p>
    <w:p w14:paraId="0FE0CB44">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3A1A4CC1">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32F8C759">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日期：    年   月   日</w:t>
      </w:r>
    </w:p>
    <w:p w14:paraId="31A79274">
      <w:pPr>
        <w:pStyle w:val="4"/>
        <w:tabs>
          <w:tab w:val="left" w:pos="425"/>
        </w:tabs>
        <w:ind w:left="709" w:hanging="709"/>
        <w:rPr>
          <w:rFonts w:hAnsi="宋体" w:cs="宋体"/>
          <w:lang w:val="zh-CN"/>
        </w:rPr>
      </w:pPr>
      <w:r>
        <w:rPr>
          <w:rFonts w:hAnsi="宋体"/>
          <w:bCs/>
          <w:sz w:val="24"/>
        </w:rPr>
        <w:br w:type="page"/>
      </w:r>
      <w:bookmarkStart w:id="391" w:name="_Toc17873"/>
      <w:bookmarkStart w:id="392" w:name="_Toc1823"/>
      <w:r>
        <w:rPr>
          <w:rFonts w:hint="eastAsia" w:hAnsi="宋体"/>
          <w:b/>
          <w:sz w:val="32"/>
          <w:lang w:val="zh-CN"/>
        </w:rPr>
        <w:t>格式6、资格证明材料</w:t>
      </w:r>
      <w:bookmarkEnd w:id="389"/>
      <w:bookmarkEnd w:id="390"/>
      <w:bookmarkEnd w:id="391"/>
      <w:bookmarkEnd w:id="392"/>
    </w:p>
    <w:p w14:paraId="4EA1FA0F">
      <w:pPr>
        <w:spacing w:line="360" w:lineRule="auto"/>
        <w:rPr>
          <w:rFonts w:ascii="宋体" w:hAnsi="宋体"/>
          <w:lang w:val="zh-CN"/>
        </w:rPr>
      </w:pPr>
    </w:p>
    <w:p w14:paraId="59BDFCFE">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资格证明材料</w:t>
      </w:r>
    </w:p>
    <w:p w14:paraId="3B120C32">
      <w:pPr>
        <w:spacing w:line="360" w:lineRule="auto"/>
        <w:ind w:firstLine="424" w:firstLineChars="177"/>
        <w:rPr>
          <w:rFonts w:ascii="宋体" w:hAnsi="宋体" w:cs="Arial"/>
          <w:sz w:val="24"/>
        </w:rPr>
      </w:pPr>
      <w:r>
        <w:rPr>
          <w:rFonts w:ascii="宋体" w:hAnsi="宋体" w:cs="Arial"/>
          <w:sz w:val="24"/>
        </w:rPr>
        <w:t>资格证明材料包括：</w:t>
      </w:r>
    </w:p>
    <w:p w14:paraId="5857E0B3">
      <w:pPr>
        <w:spacing w:line="360" w:lineRule="auto"/>
        <w:rPr>
          <w:rFonts w:ascii="宋体" w:hAnsi="宋体" w:cs="Arial"/>
          <w:sz w:val="24"/>
        </w:rPr>
      </w:pPr>
      <w:r>
        <w:rPr>
          <w:rFonts w:ascii="宋体" w:hAnsi="宋体" w:cs="Arial"/>
          <w:sz w:val="24"/>
        </w:rPr>
        <w:t>（1）单位法人营业执照、税务登记证、组织机构代码证；</w:t>
      </w:r>
    </w:p>
    <w:p w14:paraId="6931260E">
      <w:pPr>
        <w:spacing w:line="360" w:lineRule="auto"/>
        <w:rPr>
          <w:rFonts w:ascii="宋体" w:hAnsi="宋体" w:cs="Arial"/>
          <w:sz w:val="24"/>
        </w:rPr>
      </w:pPr>
      <w:r>
        <w:rPr>
          <w:rFonts w:ascii="宋体" w:hAnsi="宋体" w:cs="Arial"/>
          <w:sz w:val="24"/>
        </w:rPr>
        <w:t>（2）磋商文件规定的有关资格证书、许可证书、认证等；</w:t>
      </w:r>
    </w:p>
    <w:p w14:paraId="5EF2B579">
      <w:pPr>
        <w:spacing w:line="360" w:lineRule="auto"/>
        <w:rPr>
          <w:rFonts w:ascii="宋体" w:hAnsi="宋体" w:cs="Arial"/>
          <w:sz w:val="24"/>
        </w:rPr>
      </w:pPr>
      <w:r>
        <w:rPr>
          <w:rFonts w:ascii="宋体" w:hAnsi="宋体" w:cs="Arial"/>
          <w:sz w:val="24"/>
        </w:rPr>
        <w:t>（3）磋商供应商简介及获得相关证书证明文件；</w:t>
      </w:r>
    </w:p>
    <w:p w14:paraId="574FAA89">
      <w:pPr>
        <w:spacing w:line="360" w:lineRule="auto"/>
        <w:rPr>
          <w:rFonts w:ascii="宋体" w:hAnsi="宋体" w:cs="Arial"/>
          <w:sz w:val="24"/>
        </w:rPr>
      </w:pPr>
      <w:r>
        <w:rPr>
          <w:rFonts w:ascii="宋体" w:hAnsi="宋体" w:cs="Arial"/>
          <w:sz w:val="24"/>
        </w:rPr>
        <w:t>（4）磋商供应商认为有必要提供的其他资格证明文件。</w:t>
      </w:r>
    </w:p>
    <w:p w14:paraId="1551B2B7">
      <w:pPr>
        <w:pStyle w:val="4"/>
        <w:tabs>
          <w:tab w:val="left" w:pos="425"/>
        </w:tabs>
        <w:ind w:left="709" w:hanging="709"/>
        <w:rPr>
          <w:rFonts w:hAnsi="宋体"/>
          <w:lang w:val="zh-CN"/>
        </w:rPr>
      </w:pPr>
      <w:r>
        <w:rPr>
          <w:rFonts w:hAnsi="宋体" w:cs="宋体"/>
          <w:kern w:val="0"/>
          <w:sz w:val="24"/>
          <w:lang w:val="zh-CN"/>
        </w:rPr>
        <w:br w:type="page"/>
      </w:r>
      <w:bookmarkStart w:id="393" w:name="_Toc11499"/>
      <w:bookmarkStart w:id="394" w:name="_Toc2698"/>
      <w:bookmarkStart w:id="395" w:name="_Toc20673"/>
      <w:bookmarkStart w:id="396" w:name="_Toc444715740"/>
      <w:r>
        <w:rPr>
          <w:rFonts w:hint="eastAsia" w:hAnsi="宋体"/>
          <w:b/>
          <w:sz w:val="32"/>
          <w:lang w:val="zh-CN"/>
        </w:rPr>
        <w:t>格式7、财务状况、缴纳税收和社会保障资金证明</w:t>
      </w:r>
      <w:bookmarkEnd w:id="393"/>
      <w:bookmarkEnd w:id="394"/>
    </w:p>
    <w:p w14:paraId="266BE9E0">
      <w:pPr>
        <w:spacing w:line="360" w:lineRule="auto"/>
        <w:rPr>
          <w:rFonts w:ascii="宋体" w:hAnsi="宋体"/>
          <w:lang w:val="zh-CN"/>
        </w:rPr>
      </w:pPr>
    </w:p>
    <w:p w14:paraId="70B8E668">
      <w:pPr>
        <w:autoSpaceDE w:val="0"/>
        <w:autoSpaceDN w:val="0"/>
        <w:adjustRightInd w:val="0"/>
        <w:spacing w:line="360" w:lineRule="auto"/>
        <w:jc w:val="center"/>
        <w:rPr>
          <w:rFonts w:ascii="宋体" w:hAnsi="宋体" w:cs="宋体"/>
          <w:b/>
          <w:bCs/>
          <w:kern w:val="0"/>
          <w:sz w:val="32"/>
          <w:szCs w:val="30"/>
          <w:lang w:val="zh-CN"/>
        </w:rPr>
      </w:pPr>
      <w:r>
        <w:rPr>
          <w:rFonts w:ascii="宋体" w:hAnsi="宋体" w:cs="宋体"/>
          <w:b/>
          <w:bCs/>
          <w:kern w:val="0"/>
          <w:sz w:val="32"/>
          <w:szCs w:val="30"/>
          <w:lang w:val="zh-CN"/>
        </w:rPr>
        <w:t>财务状况、缴纳税收和社会保障资金证明</w:t>
      </w:r>
    </w:p>
    <w:p w14:paraId="26CA225C">
      <w:pPr>
        <w:autoSpaceDE w:val="0"/>
        <w:autoSpaceDN w:val="0"/>
        <w:spacing w:line="360" w:lineRule="auto"/>
        <w:rPr>
          <w:rFonts w:ascii="宋体" w:hAnsi="宋体" w:cs="Arial"/>
          <w:sz w:val="24"/>
          <w:lang w:val="zh-CN"/>
        </w:rPr>
      </w:pPr>
    </w:p>
    <w:p w14:paraId="6BF2305E">
      <w:pPr>
        <w:spacing w:line="360" w:lineRule="auto"/>
        <w:rPr>
          <w:rFonts w:ascii="宋体" w:hAnsi="宋体" w:cs="Arial"/>
          <w:sz w:val="24"/>
        </w:rPr>
      </w:pPr>
      <w:r>
        <w:rPr>
          <w:rFonts w:ascii="宋体" w:hAnsi="宋体" w:cs="Arial"/>
          <w:sz w:val="24"/>
        </w:rPr>
        <w:t>按照磋商文件第2.2款（1）中规定提供以下相关材料。</w:t>
      </w:r>
    </w:p>
    <w:p w14:paraId="1794ABBD">
      <w:pPr>
        <w:spacing w:line="360" w:lineRule="auto"/>
        <w:ind w:firstLine="480" w:firstLineChars="200"/>
        <w:rPr>
          <w:rFonts w:ascii="宋体" w:hAnsi="宋体" w:cs="Arial"/>
          <w:sz w:val="24"/>
        </w:rPr>
      </w:pPr>
      <w:r>
        <w:rPr>
          <w:rFonts w:hint="eastAsia" w:ascii="宋体" w:hAnsi="宋体" w:cs="Arial"/>
          <w:sz w:val="24"/>
        </w:rPr>
        <w:t>1、供应商基本开户银行近三个月内出具的资信证明或经第三方机构出具的</w:t>
      </w:r>
      <w:r>
        <w:rPr>
          <w:rFonts w:hint="eastAsia" w:ascii="宋体" w:hAnsi="宋体" w:cs="Arial"/>
          <w:sz w:val="24"/>
          <w:lang w:val="en-US" w:eastAsia="zh-CN"/>
        </w:rPr>
        <w:t>2024年度</w:t>
      </w:r>
      <w:r>
        <w:rPr>
          <w:rFonts w:hint="eastAsia" w:ascii="宋体" w:hAnsi="宋体" w:cs="Arial"/>
          <w:sz w:val="24"/>
        </w:rPr>
        <w:t>财务状况审计报告（扫描或复印件应全面、完整、清晰），包括资产负债表、现金流量表、利润表和财务（会计）报表附注,并提供第三方机构的营业执照、执业证书。</w:t>
      </w:r>
    </w:p>
    <w:p w14:paraId="740089FD">
      <w:pPr>
        <w:spacing w:line="360" w:lineRule="auto"/>
        <w:ind w:firstLine="480" w:firstLineChars="200"/>
        <w:rPr>
          <w:rFonts w:ascii="宋体" w:hAnsi="宋体" w:cs="Arial"/>
          <w:sz w:val="24"/>
        </w:rPr>
      </w:pPr>
      <w:r>
        <w:rPr>
          <w:rFonts w:hint="eastAsia" w:ascii="宋体" w:hAnsi="宋体" w:cs="Arial"/>
          <w:sz w:val="24"/>
        </w:rPr>
        <w:t>2、近半年内任意</w:t>
      </w:r>
      <w:r>
        <w:rPr>
          <w:rFonts w:hint="eastAsia" w:ascii="宋体" w:hAnsi="宋体" w:cs="Arial"/>
          <w:sz w:val="24"/>
          <w:lang w:val="en-US" w:eastAsia="zh-CN"/>
        </w:rPr>
        <w:t>一</w:t>
      </w:r>
      <w:r>
        <w:rPr>
          <w:rFonts w:hint="eastAsia" w:ascii="宋体" w:hAnsi="宋体" w:cs="Arial"/>
          <w:sz w:val="24"/>
        </w:rPr>
        <w:t>个月的依法缴纳税收和社会保障资金记录的证明材料；依法免税或不需要缴纳社会保障资金的供应商须提供相应文件证明其依法免税或不需要缴纳社会保障资金。</w:t>
      </w:r>
    </w:p>
    <w:p w14:paraId="4B22DB3B">
      <w:pPr>
        <w:spacing w:line="360" w:lineRule="auto"/>
        <w:ind w:firstLine="480" w:firstLineChars="200"/>
        <w:outlineLvl w:val="2"/>
        <w:rPr>
          <w:rFonts w:ascii="宋体" w:hAnsi="宋体" w:cs="Arial"/>
          <w:sz w:val="24"/>
        </w:rPr>
      </w:pPr>
      <w:bookmarkStart w:id="397" w:name="_Toc28087"/>
      <w:r>
        <w:rPr>
          <w:rFonts w:hint="eastAsia" w:ascii="宋体" w:hAnsi="宋体" w:cs="Arial"/>
          <w:sz w:val="24"/>
        </w:rPr>
        <w:t>3、扫描（或复印）件应全面、完整、清晰并加盖磋商供应商公章。</w:t>
      </w:r>
      <w:bookmarkEnd w:id="397"/>
    </w:p>
    <w:p w14:paraId="76C30F28">
      <w:pPr>
        <w:pStyle w:val="4"/>
        <w:tabs>
          <w:tab w:val="left" w:pos="425"/>
        </w:tabs>
        <w:ind w:left="709" w:hanging="709"/>
        <w:rPr>
          <w:rFonts w:hAnsi="宋体"/>
          <w:lang w:val="zh-CN"/>
        </w:rPr>
      </w:pPr>
      <w:r>
        <w:rPr>
          <w:rFonts w:hAnsi="宋体"/>
          <w:b/>
          <w:sz w:val="32"/>
          <w:lang w:val="zh-CN"/>
        </w:rPr>
        <w:br w:type="page"/>
      </w:r>
      <w:bookmarkStart w:id="398" w:name="_Toc8165"/>
      <w:bookmarkStart w:id="399" w:name="_Toc12536"/>
      <w:r>
        <w:rPr>
          <w:rFonts w:hint="eastAsia" w:hAnsi="宋体"/>
          <w:b/>
          <w:sz w:val="32"/>
          <w:lang w:val="zh-CN"/>
        </w:rPr>
        <w:t>格式8、具备履行合同所必须的设备和专业技术能力证明</w:t>
      </w:r>
      <w:bookmarkEnd w:id="398"/>
      <w:bookmarkEnd w:id="399"/>
    </w:p>
    <w:p w14:paraId="1C4F02AF">
      <w:pPr>
        <w:autoSpaceDE w:val="0"/>
        <w:autoSpaceDN w:val="0"/>
        <w:adjustRightInd w:val="0"/>
        <w:spacing w:line="360" w:lineRule="auto"/>
        <w:rPr>
          <w:rFonts w:ascii="宋体" w:hAnsi="宋体" w:cs="宋体"/>
          <w:kern w:val="0"/>
          <w:sz w:val="24"/>
          <w:lang w:val="zh-CN"/>
        </w:rPr>
      </w:pPr>
    </w:p>
    <w:p w14:paraId="69FF5DCF">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具备履行合同所必须的设备和专业技术能力证明</w:t>
      </w:r>
    </w:p>
    <w:p w14:paraId="27D78BF3">
      <w:pPr>
        <w:pStyle w:val="4"/>
        <w:tabs>
          <w:tab w:val="left" w:pos="425"/>
        </w:tabs>
        <w:ind w:left="353" w:leftChars="168" w:firstLine="480" w:firstLineChars="200"/>
        <w:jc w:val="left"/>
        <w:outlineLvl w:val="9"/>
        <w:rPr>
          <w:sz w:val="24"/>
        </w:rPr>
      </w:pPr>
    </w:p>
    <w:p w14:paraId="3536786F">
      <w:pPr>
        <w:tabs>
          <w:tab w:val="left" w:pos="168"/>
        </w:tabs>
        <w:adjustRightInd w:val="0"/>
        <w:spacing w:line="360" w:lineRule="auto"/>
        <w:ind w:firstLine="480" w:firstLineChars="200"/>
        <w:jc w:val="center"/>
        <w:textAlignment w:val="baseline"/>
        <w:rPr>
          <w:rFonts w:hint="eastAsia" w:ascii="宋体" w:hAnsi="宋体" w:cs="Arial"/>
          <w:sz w:val="24"/>
          <w:lang w:eastAsia="zh-CN"/>
        </w:rPr>
      </w:pPr>
      <w:r>
        <w:rPr>
          <w:rFonts w:hint="eastAsia" w:ascii="宋体" w:hAnsi="宋体" w:cs="Arial"/>
          <w:sz w:val="24"/>
        </w:rPr>
        <w:t>为保证本项目合同的顺利履行，供应商必须具备履行合同的设备和专业技术能力</w:t>
      </w:r>
      <w:r>
        <w:rPr>
          <w:rFonts w:hint="eastAsia" w:ascii="宋体" w:hAnsi="宋体" w:cs="Arial"/>
          <w:sz w:val="24"/>
          <w:lang w:eastAsia="zh-CN"/>
        </w:rPr>
        <w:t>，</w:t>
      </w:r>
    </w:p>
    <w:p w14:paraId="3E2391F8">
      <w:pPr>
        <w:tabs>
          <w:tab w:val="left" w:pos="168"/>
        </w:tabs>
        <w:adjustRightInd w:val="0"/>
        <w:spacing w:line="360" w:lineRule="auto"/>
        <w:ind w:firstLine="480" w:firstLineChars="200"/>
        <w:jc w:val="center"/>
        <w:textAlignment w:val="baseline"/>
        <w:rPr>
          <w:rFonts w:ascii="宋体" w:hAnsi="宋体"/>
          <w:bCs/>
          <w:sz w:val="24"/>
          <w:szCs w:val="28"/>
        </w:rPr>
      </w:pPr>
      <w:r>
        <w:rPr>
          <w:rFonts w:hint="eastAsia" w:ascii="宋体" w:hAnsi="宋体" w:cs="Arial"/>
          <w:sz w:val="24"/>
        </w:rPr>
        <w:t>须提供履行合同的设备和专业技术能力的承诺函（格式自拟），及其他相关证明材料。</w:t>
      </w:r>
      <w:r>
        <w:br w:type="page"/>
      </w:r>
      <w:bookmarkEnd w:id="395"/>
      <w:bookmarkEnd w:id="396"/>
    </w:p>
    <w:p w14:paraId="5EE039E7">
      <w:pPr>
        <w:pStyle w:val="4"/>
        <w:tabs>
          <w:tab w:val="left" w:pos="425"/>
        </w:tabs>
        <w:ind w:left="709" w:hanging="709"/>
        <w:rPr>
          <w:rFonts w:hAnsi="宋体" w:cs="宋体"/>
        </w:rPr>
      </w:pPr>
      <w:bookmarkStart w:id="400" w:name="_Toc21450"/>
      <w:bookmarkStart w:id="401" w:name="_Toc428180589"/>
      <w:bookmarkStart w:id="402" w:name="_Toc444715741"/>
      <w:bookmarkStart w:id="403" w:name="_Toc24183"/>
      <w:bookmarkStart w:id="404" w:name="_Toc10863"/>
      <w:r>
        <w:rPr>
          <w:rFonts w:hint="eastAsia" w:hAnsi="宋体"/>
          <w:b/>
          <w:sz w:val="32"/>
          <w:lang w:val="zh-CN"/>
        </w:rPr>
        <w:t>格式</w:t>
      </w:r>
      <w:r>
        <w:rPr>
          <w:rFonts w:hint="eastAsia" w:hAnsi="宋体"/>
          <w:b/>
          <w:sz w:val="32"/>
        </w:rPr>
        <w:t>9</w:t>
      </w:r>
      <w:r>
        <w:rPr>
          <w:rFonts w:hint="eastAsia" w:hAnsi="宋体"/>
          <w:b/>
          <w:sz w:val="32"/>
          <w:lang w:val="zh-CN"/>
        </w:rPr>
        <w:t>、无重大违法记录声明</w:t>
      </w:r>
      <w:bookmarkEnd w:id="400"/>
      <w:bookmarkEnd w:id="401"/>
      <w:bookmarkEnd w:id="402"/>
      <w:bookmarkEnd w:id="403"/>
      <w:bookmarkEnd w:id="404"/>
    </w:p>
    <w:p w14:paraId="2FB43B50">
      <w:pPr>
        <w:autoSpaceDE w:val="0"/>
        <w:autoSpaceDN w:val="0"/>
        <w:adjustRightInd w:val="0"/>
        <w:spacing w:line="360" w:lineRule="auto"/>
        <w:rPr>
          <w:rFonts w:ascii="宋体" w:hAnsi="宋体" w:cs="宋体"/>
          <w:kern w:val="0"/>
          <w:sz w:val="24"/>
          <w:lang w:val="zh-CN"/>
        </w:rPr>
      </w:pPr>
    </w:p>
    <w:p w14:paraId="32F84397">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无重大违法记录声明</w:t>
      </w:r>
    </w:p>
    <w:p w14:paraId="47D13B68">
      <w:pPr>
        <w:autoSpaceDE w:val="0"/>
        <w:autoSpaceDN w:val="0"/>
        <w:adjustRightInd w:val="0"/>
        <w:spacing w:line="360" w:lineRule="auto"/>
        <w:rPr>
          <w:rFonts w:ascii="宋体" w:hAnsi="宋体" w:cs="宋体"/>
          <w:kern w:val="0"/>
          <w:sz w:val="22"/>
          <w:lang w:val="zh-CN"/>
        </w:rPr>
      </w:pPr>
    </w:p>
    <w:p w14:paraId="711EC787">
      <w:pPr>
        <w:spacing w:line="360" w:lineRule="auto"/>
        <w:ind w:firstLine="426" w:firstLineChars="177"/>
        <w:rPr>
          <w:rFonts w:ascii="宋体" w:hAnsi="宋体" w:cs="Arial"/>
          <w:sz w:val="22"/>
        </w:rPr>
      </w:pPr>
      <w:r>
        <w:rPr>
          <w:rFonts w:hint="eastAsia" w:ascii="宋体" w:hAnsi="宋体" w:cs="宋体"/>
          <w:b/>
          <w:bCs/>
          <w:kern w:val="0"/>
          <w:sz w:val="24"/>
          <w:szCs w:val="28"/>
          <w:lang w:val="zh-CN"/>
        </w:rPr>
        <w:t>致：青海国德招标代理有限公司</w:t>
      </w:r>
    </w:p>
    <w:p w14:paraId="41B4A31A">
      <w:pPr>
        <w:spacing w:line="360" w:lineRule="auto"/>
        <w:ind w:firstLine="424" w:firstLineChars="177"/>
        <w:rPr>
          <w:rFonts w:ascii="宋体" w:hAnsi="宋体" w:cs="Arial"/>
          <w:sz w:val="24"/>
        </w:rPr>
      </w:pPr>
      <w:r>
        <w:rPr>
          <w:rFonts w:ascii="宋体" w:hAnsi="宋体" w:cs="Arial"/>
          <w:sz w:val="24"/>
        </w:rPr>
        <w:t>（供应商名称）郑重声明，我方参加本项目</w:t>
      </w:r>
      <w:r>
        <w:rPr>
          <w:rFonts w:hint="eastAsia" w:ascii="宋体" w:hAnsi="宋体" w:cs="Arial"/>
          <w:sz w:val="24"/>
        </w:rPr>
        <w:t>竞磋</w:t>
      </w:r>
      <w:r>
        <w:rPr>
          <w:rFonts w:ascii="宋体" w:hAnsi="宋体" w:cs="Arial"/>
          <w:sz w:val="24"/>
        </w:rPr>
        <w:t>活动前三年内无重大违法活动记录，符合《中华人民共和国政府采购法》规定的供应商资格条件。我方对此声明负全部法律责任。</w:t>
      </w:r>
    </w:p>
    <w:p w14:paraId="7762A072">
      <w:pPr>
        <w:spacing w:line="360" w:lineRule="auto"/>
        <w:ind w:firstLine="424" w:firstLineChars="177"/>
        <w:rPr>
          <w:rFonts w:ascii="宋体" w:hAnsi="宋体" w:cs="Arial"/>
          <w:sz w:val="24"/>
        </w:rPr>
      </w:pPr>
    </w:p>
    <w:p w14:paraId="7A5C440F">
      <w:pPr>
        <w:spacing w:line="360" w:lineRule="auto"/>
        <w:ind w:firstLine="424" w:firstLineChars="177"/>
        <w:rPr>
          <w:rFonts w:ascii="宋体" w:hAnsi="宋体" w:cs="Arial"/>
          <w:sz w:val="24"/>
        </w:rPr>
      </w:pPr>
    </w:p>
    <w:p w14:paraId="63684EEF">
      <w:pPr>
        <w:spacing w:line="360" w:lineRule="auto"/>
        <w:ind w:firstLine="424" w:firstLineChars="177"/>
        <w:rPr>
          <w:rFonts w:ascii="宋体" w:hAnsi="宋体" w:cs="Arial"/>
          <w:sz w:val="24"/>
        </w:rPr>
      </w:pPr>
      <w:r>
        <w:rPr>
          <w:rFonts w:ascii="宋体" w:hAnsi="宋体" w:cs="Arial"/>
          <w:sz w:val="24"/>
        </w:rPr>
        <w:t>特此声明。</w:t>
      </w:r>
    </w:p>
    <w:p w14:paraId="04835F40">
      <w:pPr>
        <w:spacing w:line="360" w:lineRule="auto"/>
        <w:ind w:firstLine="424" w:firstLineChars="177"/>
        <w:rPr>
          <w:rFonts w:ascii="宋体" w:hAnsi="宋体" w:cs="Arial"/>
          <w:sz w:val="24"/>
        </w:rPr>
      </w:pPr>
    </w:p>
    <w:p w14:paraId="7398A05A">
      <w:pPr>
        <w:spacing w:line="360" w:lineRule="auto"/>
        <w:ind w:firstLine="424" w:firstLineChars="177"/>
        <w:rPr>
          <w:rFonts w:ascii="宋体" w:hAnsi="宋体" w:cs="Arial"/>
          <w:sz w:val="24"/>
        </w:rPr>
      </w:pPr>
      <w:r>
        <w:rPr>
          <w:rFonts w:hint="eastAsia" w:ascii="宋体" w:hAnsi="宋体" w:cs="Arial"/>
          <w:sz w:val="24"/>
        </w:rPr>
        <w:t>附：“信用中国”网站查询截图。</w:t>
      </w:r>
    </w:p>
    <w:p w14:paraId="23A7442E">
      <w:pPr>
        <w:spacing w:line="360" w:lineRule="auto"/>
        <w:ind w:firstLine="424" w:firstLineChars="177"/>
        <w:rPr>
          <w:rFonts w:ascii="宋体" w:hAnsi="宋体" w:cs="Arial"/>
          <w:sz w:val="24"/>
        </w:rPr>
      </w:pPr>
    </w:p>
    <w:p w14:paraId="7B9E9E27">
      <w:pPr>
        <w:spacing w:line="360" w:lineRule="auto"/>
        <w:ind w:firstLine="424" w:firstLineChars="177"/>
        <w:rPr>
          <w:rFonts w:ascii="宋体" w:hAnsi="宋体" w:cs="Arial"/>
          <w:sz w:val="24"/>
        </w:rPr>
      </w:pPr>
    </w:p>
    <w:p w14:paraId="7921346B">
      <w:pPr>
        <w:spacing w:line="360" w:lineRule="auto"/>
        <w:ind w:firstLine="424" w:firstLineChars="177"/>
        <w:rPr>
          <w:rFonts w:ascii="宋体" w:hAnsi="宋体" w:cs="Arial"/>
          <w:sz w:val="24"/>
        </w:rPr>
      </w:pPr>
    </w:p>
    <w:p w14:paraId="4FFF14AA">
      <w:pPr>
        <w:spacing w:line="360" w:lineRule="auto"/>
        <w:rPr>
          <w:rFonts w:ascii="宋体" w:hAnsi="宋体" w:cs="Arial"/>
          <w:sz w:val="24"/>
        </w:rPr>
      </w:pPr>
    </w:p>
    <w:p w14:paraId="386F3192">
      <w:pPr>
        <w:spacing w:line="360" w:lineRule="auto"/>
        <w:ind w:firstLine="424" w:firstLineChars="177"/>
        <w:rPr>
          <w:rFonts w:ascii="宋体" w:hAnsi="宋体" w:cs="Arial"/>
          <w:sz w:val="24"/>
        </w:rPr>
      </w:pPr>
    </w:p>
    <w:p w14:paraId="51075FD4">
      <w:pPr>
        <w:spacing w:line="360" w:lineRule="auto"/>
        <w:ind w:firstLine="424" w:firstLineChars="177"/>
        <w:rPr>
          <w:rFonts w:ascii="宋体" w:hAnsi="宋体" w:cs="Arial"/>
          <w:sz w:val="24"/>
        </w:rPr>
      </w:pPr>
    </w:p>
    <w:p w14:paraId="38D60297">
      <w:pPr>
        <w:spacing w:line="360" w:lineRule="auto"/>
        <w:ind w:firstLine="424" w:firstLineChars="177"/>
        <w:rPr>
          <w:rFonts w:ascii="宋体" w:hAnsi="宋体" w:cs="Arial"/>
          <w:sz w:val="24"/>
        </w:rPr>
      </w:pPr>
    </w:p>
    <w:p w14:paraId="1B91FA54">
      <w:pPr>
        <w:spacing w:line="360" w:lineRule="auto"/>
        <w:ind w:firstLine="424" w:firstLineChars="177"/>
        <w:rPr>
          <w:rFonts w:ascii="宋体" w:hAnsi="宋体" w:cs="Arial"/>
          <w:sz w:val="24"/>
        </w:rPr>
      </w:pPr>
    </w:p>
    <w:p w14:paraId="253560FF">
      <w:pPr>
        <w:spacing w:line="360" w:lineRule="auto"/>
        <w:ind w:firstLine="424" w:firstLineChars="177"/>
        <w:rPr>
          <w:rFonts w:ascii="宋体" w:hAnsi="宋体" w:cs="Arial"/>
          <w:sz w:val="24"/>
        </w:rPr>
      </w:pPr>
    </w:p>
    <w:p w14:paraId="77F886E2">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68E3A44A">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25FB19C0">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日期：    年   月   日</w:t>
      </w:r>
    </w:p>
    <w:p w14:paraId="2A0BC8F1">
      <w:pPr>
        <w:spacing w:line="360" w:lineRule="auto"/>
        <w:ind w:firstLine="424" w:firstLineChars="177"/>
        <w:rPr>
          <w:rFonts w:ascii="宋体" w:hAnsi="宋体" w:cs="Arial"/>
          <w:sz w:val="24"/>
        </w:rPr>
      </w:pPr>
    </w:p>
    <w:p w14:paraId="4EC00AB9">
      <w:pPr>
        <w:pStyle w:val="4"/>
        <w:tabs>
          <w:tab w:val="left" w:pos="425"/>
        </w:tabs>
        <w:ind w:left="709" w:hanging="709"/>
        <w:outlineLvl w:val="9"/>
        <w:rPr>
          <w:rFonts w:hAnsi="宋体" w:cs="宋体"/>
          <w:kern w:val="0"/>
          <w:sz w:val="24"/>
          <w:lang w:val="zh-CN"/>
        </w:rPr>
      </w:pPr>
    </w:p>
    <w:p w14:paraId="6FDA0C72">
      <w:pPr>
        <w:pStyle w:val="4"/>
        <w:tabs>
          <w:tab w:val="left" w:pos="425"/>
        </w:tabs>
        <w:ind w:left="709" w:hanging="709"/>
        <w:outlineLvl w:val="9"/>
        <w:rPr>
          <w:rFonts w:hAnsi="宋体"/>
          <w:bCs/>
          <w:sz w:val="24"/>
          <w:szCs w:val="28"/>
        </w:rPr>
        <w:sectPr>
          <w:pgSz w:w="11906" w:h="16838"/>
          <w:pgMar w:top="1440" w:right="1080" w:bottom="1440" w:left="1080" w:header="567" w:footer="567" w:gutter="0"/>
          <w:pgNumType w:fmt="decimal"/>
          <w:cols w:space="720" w:num="1"/>
          <w:titlePg/>
          <w:docGrid w:linePitch="312" w:charSpace="0"/>
        </w:sectPr>
      </w:pPr>
    </w:p>
    <w:p w14:paraId="57639194">
      <w:pPr>
        <w:spacing w:line="360" w:lineRule="auto"/>
      </w:pPr>
      <w:bookmarkStart w:id="405" w:name="_Toc6049"/>
      <w:bookmarkStart w:id="406" w:name="_Toc28330"/>
      <w:r>
        <w:rPr>
          <w:rStyle w:val="87"/>
          <w:rFonts w:hint="eastAsia"/>
          <w:b/>
          <w:sz w:val="32"/>
        </w:rPr>
        <w:t>格式</w:t>
      </w:r>
      <w:r>
        <w:rPr>
          <w:rStyle w:val="87"/>
          <w:rFonts w:hint="eastAsia"/>
          <w:b/>
          <w:sz w:val="32"/>
          <w:lang w:val="en-US" w:eastAsia="zh-CN"/>
        </w:rPr>
        <w:t>10</w:t>
      </w:r>
      <w:r>
        <w:rPr>
          <w:rStyle w:val="87"/>
          <w:rFonts w:hint="eastAsia"/>
          <w:b/>
          <w:sz w:val="32"/>
        </w:rPr>
        <w:t>、磋商保证金证明</w:t>
      </w:r>
      <w:bookmarkEnd w:id="405"/>
      <w:bookmarkEnd w:id="406"/>
    </w:p>
    <w:p w14:paraId="47D9430E">
      <w:pPr>
        <w:spacing w:line="360" w:lineRule="auto"/>
        <w:rPr>
          <w:rFonts w:ascii="宋体" w:hAnsi="宋体" w:cs="宋体"/>
          <w:sz w:val="22"/>
          <w:lang w:val="zh-CN"/>
        </w:rPr>
      </w:pPr>
    </w:p>
    <w:p w14:paraId="55C13384">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磋商保证金证明</w:t>
      </w:r>
    </w:p>
    <w:p w14:paraId="76B53990">
      <w:pPr>
        <w:autoSpaceDE w:val="0"/>
        <w:autoSpaceDN w:val="0"/>
        <w:adjustRightInd w:val="0"/>
        <w:spacing w:line="360" w:lineRule="auto"/>
        <w:rPr>
          <w:rFonts w:ascii="宋体" w:hAnsi="宋体" w:cs="宋体"/>
          <w:b/>
          <w:bCs/>
          <w:kern w:val="0"/>
          <w:sz w:val="24"/>
          <w:szCs w:val="28"/>
          <w:lang w:val="zh-CN"/>
        </w:rPr>
      </w:pPr>
      <w:bookmarkStart w:id="407" w:name="_Toc325726048"/>
      <w:bookmarkEnd w:id="407"/>
    </w:p>
    <w:p w14:paraId="430B7669">
      <w:pPr>
        <w:autoSpaceDE w:val="0"/>
        <w:autoSpaceDN w:val="0"/>
        <w:adjustRightInd w:val="0"/>
        <w:spacing w:line="360" w:lineRule="auto"/>
        <w:rPr>
          <w:rFonts w:ascii="宋体" w:hAnsi="宋体" w:cs="宋体"/>
          <w:b/>
          <w:bCs/>
          <w:kern w:val="0"/>
          <w:sz w:val="22"/>
          <w:lang w:val="zh-CN"/>
        </w:rPr>
      </w:pPr>
      <w:r>
        <w:rPr>
          <w:rFonts w:hint="eastAsia" w:ascii="宋体" w:hAnsi="宋体" w:cs="宋体"/>
          <w:b/>
          <w:bCs/>
          <w:kern w:val="0"/>
          <w:sz w:val="24"/>
          <w:szCs w:val="28"/>
          <w:lang w:val="zh-CN"/>
        </w:rPr>
        <w:t>致：青海国德招标代理有限公司</w:t>
      </w:r>
    </w:p>
    <w:p w14:paraId="2EE70489">
      <w:pPr>
        <w:autoSpaceDE w:val="0"/>
        <w:autoSpaceDN w:val="0"/>
        <w:adjustRightInd w:val="0"/>
        <w:spacing w:line="360" w:lineRule="auto"/>
        <w:rPr>
          <w:rFonts w:ascii="宋体" w:hAnsi="宋体" w:cs="宋体"/>
          <w:b/>
          <w:bCs/>
          <w:kern w:val="0"/>
          <w:sz w:val="24"/>
          <w:lang w:val="zh-CN"/>
        </w:rPr>
      </w:pPr>
    </w:p>
    <w:p w14:paraId="1E9DC25B">
      <w:pPr>
        <w:autoSpaceDE w:val="0"/>
        <w:autoSpaceDN w:val="0"/>
        <w:adjustRightInd w:val="0"/>
        <w:spacing w:line="360" w:lineRule="auto"/>
        <w:ind w:firstLine="360"/>
        <w:rPr>
          <w:rFonts w:ascii="宋体" w:hAnsi="宋体" w:cs="宋体"/>
          <w:kern w:val="0"/>
          <w:sz w:val="24"/>
          <w:lang w:val="zh-CN"/>
        </w:rPr>
      </w:pPr>
      <w:r>
        <w:rPr>
          <w:rFonts w:hint="eastAsia" w:ascii="宋体" w:hAnsi="宋体" w:cs="宋体"/>
          <w:kern w:val="0"/>
          <w:sz w:val="24"/>
          <w:lang w:val="zh-CN"/>
        </w:rPr>
        <w:t>我方为（项目名称）项目（采购编号为：</w:t>
      </w:r>
      <w:r>
        <w:rPr>
          <w:rFonts w:hint="eastAsia" w:ascii="宋体" w:hAnsi="宋体" w:cs="宋体"/>
          <w:kern w:val="0"/>
          <w:sz w:val="24"/>
          <w:u w:val="single"/>
          <w:lang w:val="zh-CN"/>
        </w:rPr>
        <w:t xml:space="preserve">          </w:t>
      </w:r>
      <w:r>
        <w:rPr>
          <w:rFonts w:hint="eastAsia" w:ascii="宋体" w:hAnsi="宋体" w:cs="宋体"/>
          <w:kern w:val="0"/>
          <w:sz w:val="24"/>
          <w:lang w:val="zh-CN"/>
        </w:rPr>
        <w:t>）递交保证金人民币</w:t>
      </w:r>
      <w:r>
        <w:rPr>
          <w:rFonts w:hint="eastAsia" w:ascii="宋体" w:hAnsi="宋体" w:cs="宋体"/>
          <w:kern w:val="0"/>
          <w:sz w:val="24"/>
          <w:u w:val="single"/>
          <w:lang w:val="zh-CN"/>
        </w:rPr>
        <w:t xml:space="preserve">            </w:t>
      </w:r>
      <w:r>
        <w:rPr>
          <w:rFonts w:hint="eastAsia" w:ascii="宋体" w:hAnsi="宋体" w:cs="宋体"/>
          <w:kern w:val="0"/>
          <w:sz w:val="24"/>
          <w:lang w:val="zh-CN"/>
        </w:rPr>
        <w:t>（大写：人民币</w:t>
      </w:r>
      <w:r>
        <w:rPr>
          <w:rFonts w:hint="eastAsia" w:ascii="宋体" w:hAnsi="宋体" w:cs="宋体"/>
          <w:kern w:val="0"/>
          <w:sz w:val="24"/>
          <w:u w:val="single"/>
          <w:lang w:val="zh-CN"/>
        </w:rPr>
        <w:t xml:space="preserve">        </w:t>
      </w:r>
      <w:r>
        <w:rPr>
          <w:rFonts w:hint="eastAsia" w:ascii="宋体" w:hAnsi="宋体" w:cs="宋体"/>
          <w:kern w:val="0"/>
          <w:sz w:val="24"/>
          <w:lang w:val="zh-CN"/>
        </w:rPr>
        <w:t>元）已于</w:t>
      </w:r>
      <w:r>
        <w:rPr>
          <w:rFonts w:hint="eastAsia" w:ascii="宋体" w:hAnsi="宋体" w:cs="宋体"/>
          <w:kern w:val="0"/>
          <w:sz w:val="24"/>
          <w:u w:val="single"/>
          <w:lang w:val="zh-CN"/>
        </w:rPr>
        <w:t xml:space="preserve">     </w:t>
      </w:r>
      <w:r>
        <w:rPr>
          <w:rFonts w:hint="eastAsia" w:ascii="宋体" w:hAnsi="宋体" w:cs="宋体"/>
          <w:kern w:val="0"/>
          <w:sz w:val="24"/>
          <w:lang w:val="zh-CN"/>
        </w:rPr>
        <w:t>年</w:t>
      </w:r>
      <w:r>
        <w:rPr>
          <w:rFonts w:hint="eastAsia" w:ascii="宋体" w:hAnsi="宋体" w:cs="宋体"/>
          <w:kern w:val="0"/>
          <w:sz w:val="24"/>
          <w:u w:val="single"/>
          <w:lang w:val="zh-CN"/>
        </w:rPr>
        <w:t xml:space="preserve">    </w:t>
      </w:r>
      <w:r>
        <w:rPr>
          <w:rFonts w:hint="eastAsia" w:ascii="宋体" w:hAnsi="宋体" w:cs="宋体"/>
          <w:kern w:val="0"/>
          <w:sz w:val="24"/>
          <w:lang w:val="zh-CN"/>
        </w:rPr>
        <w:t>月</w:t>
      </w:r>
      <w:r>
        <w:rPr>
          <w:rFonts w:hint="eastAsia" w:ascii="宋体" w:hAnsi="宋体" w:cs="宋体"/>
          <w:kern w:val="0"/>
          <w:sz w:val="24"/>
          <w:u w:val="single"/>
          <w:lang w:val="zh-CN"/>
        </w:rPr>
        <w:t xml:space="preserve">    </w:t>
      </w:r>
      <w:r>
        <w:rPr>
          <w:rFonts w:hint="eastAsia" w:ascii="宋体" w:hAnsi="宋体" w:cs="宋体"/>
          <w:kern w:val="0"/>
          <w:sz w:val="24"/>
          <w:lang w:val="zh-CN"/>
        </w:rPr>
        <w:t>日以基本户转账方式汇入你方账户。</w:t>
      </w:r>
    </w:p>
    <w:p w14:paraId="145C1BB1">
      <w:pPr>
        <w:autoSpaceDE w:val="0"/>
        <w:autoSpaceDN w:val="0"/>
        <w:adjustRightInd w:val="0"/>
        <w:spacing w:line="360" w:lineRule="auto"/>
        <w:ind w:firstLine="360"/>
        <w:rPr>
          <w:rFonts w:ascii="宋体" w:hAnsi="宋体" w:cs="宋体"/>
          <w:bCs/>
          <w:kern w:val="0"/>
          <w:sz w:val="24"/>
          <w:lang w:val="zh-CN"/>
        </w:rPr>
      </w:pPr>
      <w:r>
        <w:rPr>
          <w:rFonts w:hint="eastAsia" w:ascii="宋体" w:hAnsi="宋体" w:cs="宋体"/>
          <w:bCs/>
          <w:kern w:val="0"/>
          <w:sz w:val="24"/>
          <w:lang w:val="zh-CN"/>
        </w:rPr>
        <w:t>附件：保证金交款证明及开户许可证复印件（加盖磋商供应商公章）</w:t>
      </w:r>
    </w:p>
    <w:p w14:paraId="436BE934">
      <w:pPr>
        <w:autoSpaceDE w:val="0"/>
        <w:autoSpaceDN w:val="0"/>
        <w:adjustRightInd w:val="0"/>
        <w:spacing w:line="360" w:lineRule="auto"/>
        <w:ind w:firstLine="360"/>
        <w:rPr>
          <w:rFonts w:ascii="宋体" w:hAnsi="宋体" w:cs="宋体"/>
          <w:kern w:val="0"/>
          <w:sz w:val="24"/>
          <w:lang w:val="zh-CN"/>
        </w:rPr>
      </w:pPr>
      <w:r>
        <w:rPr>
          <w:rFonts w:hint="eastAsia" w:ascii="宋体" w:hAnsi="宋体" w:cs="宋体"/>
          <w:kern w:val="0"/>
          <w:sz w:val="24"/>
          <w:lang w:val="zh-CN"/>
        </w:rPr>
        <w:t>退还保证金时请按以下内容汇入至我方账户（同递交保证金账户）。若因提供内容不全、错误等原因导致该项目保证金未能及时退还或退还过程中发生错误，我方将承担全部责任和损失。</w:t>
      </w:r>
    </w:p>
    <w:p w14:paraId="4E7571C6">
      <w:pPr>
        <w:autoSpaceDE w:val="0"/>
        <w:autoSpaceDN w:val="0"/>
        <w:adjustRightInd w:val="0"/>
        <w:spacing w:line="360" w:lineRule="auto"/>
        <w:ind w:firstLine="360"/>
        <w:rPr>
          <w:rFonts w:ascii="宋体" w:hAnsi="宋体" w:cs="宋体"/>
          <w:kern w:val="0"/>
          <w:sz w:val="24"/>
          <w:lang w:val="zh-CN"/>
        </w:rPr>
      </w:pPr>
      <w:r>
        <w:rPr>
          <w:rFonts w:hint="eastAsia" w:ascii="宋体" w:hAnsi="宋体" w:cs="宋体"/>
          <w:kern w:val="0"/>
          <w:sz w:val="24"/>
          <w:lang w:val="zh-CN"/>
        </w:rPr>
        <w:t>户    名：</w:t>
      </w:r>
    </w:p>
    <w:p w14:paraId="3441032C">
      <w:pPr>
        <w:autoSpaceDE w:val="0"/>
        <w:autoSpaceDN w:val="0"/>
        <w:adjustRightInd w:val="0"/>
        <w:spacing w:line="360" w:lineRule="auto"/>
        <w:ind w:firstLine="360"/>
        <w:rPr>
          <w:rFonts w:ascii="宋体" w:hAnsi="宋体" w:cs="宋体"/>
          <w:kern w:val="0"/>
          <w:sz w:val="24"/>
          <w:lang w:val="zh-CN"/>
        </w:rPr>
      </w:pPr>
      <w:r>
        <w:rPr>
          <w:rFonts w:hint="eastAsia" w:ascii="宋体" w:hAnsi="宋体" w:cs="宋体"/>
          <w:kern w:val="0"/>
          <w:sz w:val="24"/>
          <w:lang w:val="zh-CN"/>
        </w:rPr>
        <w:t>开户银行：</w:t>
      </w:r>
    </w:p>
    <w:p w14:paraId="71F93585">
      <w:pPr>
        <w:autoSpaceDE w:val="0"/>
        <w:autoSpaceDN w:val="0"/>
        <w:adjustRightInd w:val="0"/>
        <w:spacing w:line="360" w:lineRule="auto"/>
        <w:ind w:firstLine="360"/>
        <w:rPr>
          <w:rFonts w:ascii="宋体" w:hAnsi="宋体" w:cs="宋体"/>
          <w:kern w:val="0"/>
          <w:sz w:val="24"/>
          <w:lang w:val="zh-CN"/>
        </w:rPr>
      </w:pPr>
      <w:r>
        <w:rPr>
          <w:rFonts w:hint="eastAsia" w:ascii="宋体" w:hAnsi="宋体" w:cs="宋体"/>
          <w:kern w:val="0"/>
          <w:sz w:val="24"/>
          <w:lang w:val="zh-CN"/>
        </w:rPr>
        <w:t>开户帐号：</w:t>
      </w:r>
    </w:p>
    <w:p w14:paraId="70F2ECA3">
      <w:pPr>
        <w:autoSpaceDE w:val="0"/>
        <w:autoSpaceDN w:val="0"/>
        <w:adjustRightInd w:val="0"/>
        <w:spacing w:line="360" w:lineRule="auto"/>
        <w:rPr>
          <w:rFonts w:ascii="宋体" w:hAnsi="宋体" w:cs="宋体"/>
          <w:kern w:val="0"/>
          <w:sz w:val="24"/>
          <w:lang w:val="zh-CN"/>
        </w:rPr>
      </w:pPr>
    </w:p>
    <w:p w14:paraId="181F0EA6">
      <w:pPr>
        <w:autoSpaceDE w:val="0"/>
        <w:autoSpaceDN w:val="0"/>
        <w:adjustRightInd w:val="0"/>
        <w:spacing w:line="360" w:lineRule="auto"/>
        <w:rPr>
          <w:rFonts w:ascii="宋体" w:hAnsi="宋体" w:cs="宋体"/>
          <w:kern w:val="0"/>
          <w:sz w:val="24"/>
          <w:lang w:val="zh-CN"/>
        </w:rPr>
      </w:pPr>
    </w:p>
    <w:p w14:paraId="15C28179">
      <w:pPr>
        <w:autoSpaceDE w:val="0"/>
        <w:autoSpaceDN w:val="0"/>
        <w:adjustRightInd w:val="0"/>
        <w:spacing w:line="360" w:lineRule="auto"/>
        <w:rPr>
          <w:rFonts w:ascii="宋体" w:hAnsi="宋体" w:cs="宋体"/>
          <w:kern w:val="0"/>
          <w:sz w:val="24"/>
          <w:lang w:val="zh-CN"/>
        </w:rPr>
      </w:pPr>
    </w:p>
    <w:p w14:paraId="6A10FC7F">
      <w:pPr>
        <w:autoSpaceDE w:val="0"/>
        <w:autoSpaceDN w:val="0"/>
        <w:adjustRightInd w:val="0"/>
        <w:spacing w:line="360" w:lineRule="auto"/>
        <w:rPr>
          <w:rFonts w:ascii="宋体" w:hAnsi="宋体" w:cs="宋体"/>
          <w:kern w:val="0"/>
          <w:sz w:val="24"/>
          <w:lang w:val="zh-CN"/>
        </w:rPr>
      </w:pPr>
    </w:p>
    <w:p w14:paraId="1E05A973">
      <w:pPr>
        <w:autoSpaceDE w:val="0"/>
        <w:autoSpaceDN w:val="0"/>
        <w:adjustRightInd w:val="0"/>
        <w:spacing w:line="360" w:lineRule="auto"/>
        <w:rPr>
          <w:rFonts w:ascii="宋体" w:hAnsi="宋体" w:cs="宋体"/>
          <w:kern w:val="0"/>
          <w:sz w:val="24"/>
          <w:lang w:val="zh-CN"/>
        </w:rPr>
      </w:pPr>
    </w:p>
    <w:p w14:paraId="3B56E639">
      <w:pPr>
        <w:autoSpaceDE w:val="0"/>
        <w:autoSpaceDN w:val="0"/>
        <w:adjustRightInd w:val="0"/>
        <w:spacing w:line="360" w:lineRule="auto"/>
        <w:rPr>
          <w:rFonts w:ascii="宋体" w:hAnsi="宋体" w:cs="宋体"/>
          <w:kern w:val="0"/>
          <w:sz w:val="24"/>
          <w:lang w:val="zh-CN"/>
        </w:rPr>
      </w:pPr>
    </w:p>
    <w:p w14:paraId="0AF60536">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 xml:space="preserve">供应商名称：     </w:t>
      </w:r>
      <w:r>
        <w:rPr>
          <w:rFonts w:ascii="宋体" w:hAnsi="宋体"/>
          <w:bCs/>
          <w:sz w:val="24"/>
          <w:szCs w:val="28"/>
        </w:rPr>
        <w:t xml:space="preserve">      </w:t>
      </w:r>
      <w:r>
        <w:rPr>
          <w:rFonts w:hint="eastAsia" w:ascii="宋体" w:hAnsi="宋体"/>
          <w:bCs/>
          <w:sz w:val="24"/>
          <w:szCs w:val="28"/>
        </w:rPr>
        <w:t xml:space="preserve">        （公章）</w:t>
      </w:r>
    </w:p>
    <w:p w14:paraId="4081EB99">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5DFFCBE8">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 xml:space="preserve">日期：  </w:t>
      </w:r>
      <w:r>
        <w:rPr>
          <w:rFonts w:ascii="宋体" w:hAnsi="宋体"/>
          <w:bCs/>
          <w:sz w:val="24"/>
          <w:szCs w:val="28"/>
        </w:rPr>
        <w:t xml:space="preserve">      </w:t>
      </w:r>
      <w:r>
        <w:rPr>
          <w:rFonts w:hint="eastAsia" w:ascii="宋体" w:hAnsi="宋体"/>
          <w:bCs/>
          <w:sz w:val="24"/>
          <w:szCs w:val="28"/>
        </w:rPr>
        <w:t xml:space="preserve">  年   月   日</w:t>
      </w:r>
    </w:p>
    <w:p w14:paraId="42420649">
      <w:pPr>
        <w:pStyle w:val="4"/>
        <w:tabs>
          <w:tab w:val="left" w:pos="425"/>
        </w:tabs>
        <w:ind w:left="709" w:hanging="709"/>
        <w:outlineLvl w:val="9"/>
        <w:rPr>
          <w:rFonts w:hAnsi="宋体"/>
          <w:bCs/>
          <w:sz w:val="24"/>
          <w:szCs w:val="28"/>
        </w:rPr>
        <w:sectPr>
          <w:pgSz w:w="11906" w:h="16838"/>
          <w:pgMar w:top="1440" w:right="1080" w:bottom="1440" w:left="1080" w:header="567" w:footer="567" w:gutter="0"/>
          <w:pgNumType w:fmt="decimal"/>
          <w:cols w:space="720" w:num="1"/>
          <w:titlePg/>
          <w:docGrid w:linePitch="312" w:charSpace="0"/>
        </w:sectPr>
      </w:pPr>
    </w:p>
    <w:p w14:paraId="00406087">
      <w:pPr>
        <w:pStyle w:val="4"/>
        <w:tabs>
          <w:tab w:val="left" w:pos="425"/>
        </w:tabs>
        <w:ind w:left="709" w:hanging="709"/>
        <w:rPr>
          <w:rFonts w:hAnsi="宋体"/>
          <w:b/>
          <w:sz w:val="32"/>
          <w:lang w:val="zh-CN"/>
        </w:rPr>
      </w:pPr>
      <w:bookmarkStart w:id="408" w:name="_Toc28896"/>
      <w:bookmarkStart w:id="409" w:name="_Toc27487"/>
      <w:r>
        <w:rPr>
          <w:rFonts w:hint="eastAsia" w:hAnsi="宋体"/>
          <w:b/>
          <w:sz w:val="32"/>
          <w:lang w:val="zh-CN"/>
        </w:rPr>
        <w:t>格式</w:t>
      </w:r>
      <w:r>
        <w:rPr>
          <w:rFonts w:hint="eastAsia" w:hAnsi="宋体"/>
          <w:b/>
          <w:sz w:val="32"/>
          <w:lang w:val="en-US" w:eastAsia="zh-CN"/>
        </w:rPr>
        <w:t>11</w:t>
      </w:r>
      <w:r>
        <w:rPr>
          <w:rFonts w:hint="eastAsia" w:hAnsi="宋体"/>
          <w:b/>
          <w:sz w:val="32"/>
          <w:lang w:val="zh-CN"/>
        </w:rPr>
        <w:t>、评分对照表</w:t>
      </w:r>
      <w:bookmarkEnd w:id="408"/>
      <w:bookmarkEnd w:id="409"/>
    </w:p>
    <w:p w14:paraId="471ECBAA">
      <w:pPr>
        <w:spacing w:line="360" w:lineRule="auto"/>
        <w:rPr>
          <w:rFonts w:ascii="宋体" w:hAnsi="宋体"/>
          <w:bCs/>
          <w:sz w:val="24"/>
          <w:szCs w:val="28"/>
        </w:rPr>
      </w:pPr>
    </w:p>
    <w:p w14:paraId="1974B2C3">
      <w:pPr>
        <w:spacing w:line="360" w:lineRule="auto"/>
        <w:jc w:val="center"/>
        <w:rPr>
          <w:rFonts w:ascii="宋体" w:hAnsi="宋体" w:cs="宋体"/>
          <w:b/>
          <w:bCs/>
          <w:sz w:val="28"/>
          <w:szCs w:val="28"/>
        </w:rPr>
      </w:pPr>
      <w:r>
        <w:rPr>
          <w:rFonts w:hint="eastAsia" w:ascii="宋体" w:hAnsi="宋体" w:cs="宋体"/>
          <w:b/>
          <w:bCs/>
          <w:sz w:val="28"/>
          <w:szCs w:val="28"/>
        </w:rPr>
        <w:t>评分对照表</w:t>
      </w:r>
    </w:p>
    <w:tbl>
      <w:tblPr>
        <w:tblStyle w:val="33"/>
        <w:tblW w:w="8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5"/>
        <w:gridCol w:w="2584"/>
        <w:gridCol w:w="2330"/>
        <w:gridCol w:w="3049"/>
      </w:tblGrid>
      <w:tr w14:paraId="4C2D3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9" w:hRule="atLeast"/>
          <w:jc w:val="center"/>
        </w:trPr>
        <w:tc>
          <w:tcPr>
            <w:tcW w:w="895" w:type="dxa"/>
            <w:vAlign w:val="center"/>
          </w:tcPr>
          <w:p w14:paraId="6ADDA925">
            <w:pPr>
              <w:jc w:val="center"/>
              <w:rPr>
                <w:rFonts w:ascii="宋体" w:hAnsi="宋体" w:cs="宋体"/>
                <w:sz w:val="24"/>
              </w:rPr>
            </w:pPr>
            <w:r>
              <w:rPr>
                <w:rFonts w:hint="eastAsia" w:ascii="宋体" w:hAnsi="宋体" w:cs="宋体"/>
                <w:sz w:val="24"/>
              </w:rPr>
              <w:t>序号</w:t>
            </w:r>
          </w:p>
        </w:tc>
        <w:tc>
          <w:tcPr>
            <w:tcW w:w="2584" w:type="dxa"/>
            <w:vAlign w:val="center"/>
          </w:tcPr>
          <w:p w14:paraId="6DFBAA04">
            <w:pPr>
              <w:jc w:val="center"/>
              <w:rPr>
                <w:rFonts w:ascii="宋体" w:hAnsi="宋体" w:cs="宋体"/>
                <w:sz w:val="24"/>
              </w:rPr>
            </w:pPr>
            <w:r>
              <w:rPr>
                <w:rFonts w:hint="eastAsia" w:ascii="宋体" w:hAnsi="宋体" w:cs="宋体"/>
                <w:sz w:val="24"/>
              </w:rPr>
              <w:t>磋商文件评分标准</w:t>
            </w:r>
          </w:p>
        </w:tc>
        <w:tc>
          <w:tcPr>
            <w:tcW w:w="2330" w:type="dxa"/>
            <w:vAlign w:val="center"/>
          </w:tcPr>
          <w:p w14:paraId="311B60F9">
            <w:pPr>
              <w:jc w:val="center"/>
              <w:rPr>
                <w:rFonts w:ascii="宋体" w:hAnsi="宋体" w:cs="宋体"/>
                <w:sz w:val="24"/>
              </w:rPr>
            </w:pPr>
            <w:r>
              <w:rPr>
                <w:rFonts w:hint="eastAsia" w:ascii="宋体" w:hAnsi="宋体" w:cs="宋体"/>
                <w:sz w:val="24"/>
              </w:rPr>
              <w:t>磋商响应部分</w:t>
            </w:r>
          </w:p>
        </w:tc>
        <w:tc>
          <w:tcPr>
            <w:tcW w:w="3049" w:type="dxa"/>
            <w:vAlign w:val="center"/>
          </w:tcPr>
          <w:p w14:paraId="4A70B9DB">
            <w:pPr>
              <w:jc w:val="center"/>
              <w:rPr>
                <w:rFonts w:ascii="宋体" w:hAnsi="宋体" w:cs="宋体"/>
                <w:sz w:val="24"/>
              </w:rPr>
            </w:pPr>
            <w:r>
              <w:rPr>
                <w:rFonts w:hint="eastAsia" w:ascii="宋体" w:hAnsi="宋体" w:cs="宋体"/>
                <w:sz w:val="24"/>
              </w:rPr>
              <w:t>磋商响应文件中对应页码</w:t>
            </w:r>
          </w:p>
        </w:tc>
      </w:tr>
      <w:tr w14:paraId="6960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895" w:type="dxa"/>
            <w:vAlign w:val="center"/>
          </w:tcPr>
          <w:p w14:paraId="59401FC2">
            <w:pPr>
              <w:pStyle w:val="5"/>
              <w:spacing w:line="360" w:lineRule="auto"/>
              <w:ind w:firstLine="480"/>
              <w:jc w:val="center"/>
              <w:rPr>
                <w:rFonts w:ascii="宋体" w:hAnsi="宋体" w:cs="宋体"/>
                <w:sz w:val="24"/>
              </w:rPr>
            </w:pPr>
          </w:p>
        </w:tc>
        <w:tc>
          <w:tcPr>
            <w:tcW w:w="2584" w:type="dxa"/>
            <w:vAlign w:val="center"/>
          </w:tcPr>
          <w:p w14:paraId="511F601F">
            <w:pPr>
              <w:pStyle w:val="5"/>
              <w:spacing w:line="360" w:lineRule="auto"/>
              <w:ind w:firstLine="480"/>
              <w:jc w:val="center"/>
              <w:rPr>
                <w:rFonts w:ascii="宋体" w:hAnsi="宋体" w:cs="宋体"/>
                <w:sz w:val="24"/>
              </w:rPr>
            </w:pPr>
          </w:p>
        </w:tc>
        <w:tc>
          <w:tcPr>
            <w:tcW w:w="2330" w:type="dxa"/>
            <w:vAlign w:val="center"/>
          </w:tcPr>
          <w:p w14:paraId="3D132933">
            <w:pPr>
              <w:pStyle w:val="5"/>
              <w:spacing w:line="360" w:lineRule="auto"/>
              <w:ind w:firstLine="480"/>
              <w:jc w:val="center"/>
              <w:rPr>
                <w:rFonts w:ascii="宋体" w:hAnsi="宋体" w:cs="宋体"/>
                <w:sz w:val="24"/>
              </w:rPr>
            </w:pPr>
          </w:p>
        </w:tc>
        <w:tc>
          <w:tcPr>
            <w:tcW w:w="3049" w:type="dxa"/>
            <w:vAlign w:val="center"/>
          </w:tcPr>
          <w:p w14:paraId="099B0F96">
            <w:pPr>
              <w:pStyle w:val="5"/>
              <w:spacing w:line="360" w:lineRule="auto"/>
              <w:ind w:firstLine="480"/>
              <w:jc w:val="center"/>
              <w:rPr>
                <w:rFonts w:ascii="宋体" w:hAnsi="宋体" w:cs="宋体"/>
                <w:sz w:val="24"/>
              </w:rPr>
            </w:pPr>
          </w:p>
        </w:tc>
      </w:tr>
      <w:tr w14:paraId="0E5B2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895" w:type="dxa"/>
            <w:vAlign w:val="center"/>
          </w:tcPr>
          <w:p w14:paraId="52808313">
            <w:pPr>
              <w:pStyle w:val="5"/>
              <w:spacing w:line="360" w:lineRule="auto"/>
              <w:ind w:firstLine="480"/>
              <w:jc w:val="center"/>
              <w:rPr>
                <w:rFonts w:ascii="宋体" w:hAnsi="宋体" w:cs="宋体"/>
                <w:sz w:val="24"/>
              </w:rPr>
            </w:pPr>
          </w:p>
        </w:tc>
        <w:tc>
          <w:tcPr>
            <w:tcW w:w="2584" w:type="dxa"/>
            <w:vAlign w:val="center"/>
          </w:tcPr>
          <w:p w14:paraId="23CE21C7">
            <w:pPr>
              <w:pStyle w:val="5"/>
              <w:spacing w:line="360" w:lineRule="auto"/>
              <w:ind w:firstLine="480"/>
              <w:jc w:val="center"/>
              <w:rPr>
                <w:rFonts w:ascii="宋体" w:hAnsi="宋体" w:cs="宋体"/>
                <w:sz w:val="24"/>
              </w:rPr>
            </w:pPr>
          </w:p>
        </w:tc>
        <w:tc>
          <w:tcPr>
            <w:tcW w:w="2330" w:type="dxa"/>
            <w:vAlign w:val="center"/>
          </w:tcPr>
          <w:p w14:paraId="4A6CFEF7">
            <w:pPr>
              <w:pStyle w:val="5"/>
              <w:spacing w:line="360" w:lineRule="auto"/>
              <w:ind w:firstLine="480"/>
              <w:jc w:val="center"/>
              <w:rPr>
                <w:rFonts w:ascii="宋体" w:hAnsi="宋体" w:cs="宋体"/>
                <w:sz w:val="24"/>
              </w:rPr>
            </w:pPr>
          </w:p>
        </w:tc>
        <w:tc>
          <w:tcPr>
            <w:tcW w:w="3049" w:type="dxa"/>
            <w:vAlign w:val="center"/>
          </w:tcPr>
          <w:p w14:paraId="73B98235">
            <w:pPr>
              <w:pStyle w:val="5"/>
              <w:spacing w:line="360" w:lineRule="auto"/>
              <w:ind w:firstLine="480"/>
              <w:jc w:val="center"/>
              <w:rPr>
                <w:rFonts w:ascii="宋体" w:hAnsi="宋体" w:cs="宋体"/>
                <w:sz w:val="24"/>
              </w:rPr>
            </w:pPr>
          </w:p>
        </w:tc>
      </w:tr>
      <w:tr w14:paraId="38A1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895" w:type="dxa"/>
            <w:vAlign w:val="center"/>
          </w:tcPr>
          <w:p w14:paraId="5B599236">
            <w:pPr>
              <w:pStyle w:val="5"/>
              <w:spacing w:line="360" w:lineRule="auto"/>
              <w:ind w:firstLine="480"/>
              <w:jc w:val="center"/>
              <w:rPr>
                <w:rFonts w:ascii="宋体" w:hAnsi="宋体" w:cs="宋体"/>
                <w:sz w:val="24"/>
              </w:rPr>
            </w:pPr>
          </w:p>
        </w:tc>
        <w:tc>
          <w:tcPr>
            <w:tcW w:w="2584" w:type="dxa"/>
            <w:vAlign w:val="center"/>
          </w:tcPr>
          <w:p w14:paraId="43FD338A">
            <w:pPr>
              <w:pStyle w:val="5"/>
              <w:spacing w:line="360" w:lineRule="auto"/>
              <w:ind w:firstLine="480"/>
              <w:jc w:val="center"/>
              <w:rPr>
                <w:rFonts w:ascii="宋体" w:hAnsi="宋体" w:cs="宋体"/>
                <w:sz w:val="24"/>
              </w:rPr>
            </w:pPr>
          </w:p>
        </w:tc>
        <w:tc>
          <w:tcPr>
            <w:tcW w:w="2330" w:type="dxa"/>
            <w:vAlign w:val="center"/>
          </w:tcPr>
          <w:p w14:paraId="771BCD08">
            <w:pPr>
              <w:pStyle w:val="5"/>
              <w:spacing w:line="360" w:lineRule="auto"/>
              <w:ind w:firstLine="480"/>
              <w:jc w:val="center"/>
              <w:rPr>
                <w:rFonts w:ascii="宋体" w:hAnsi="宋体" w:cs="宋体"/>
                <w:sz w:val="24"/>
              </w:rPr>
            </w:pPr>
          </w:p>
        </w:tc>
        <w:tc>
          <w:tcPr>
            <w:tcW w:w="3049" w:type="dxa"/>
            <w:vAlign w:val="center"/>
          </w:tcPr>
          <w:p w14:paraId="4DC469F9">
            <w:pPr>
              <w:pStyle w:val="5"/>
              <w:spacing w:line="360" w:lineRule="auto"/>
              <w:ind w:firstLine="480"/>
              <w:jc w:val="center"/>
              <w:rPr>
                <w:rFonts w:ascii="宋体" w:hAnsi="宋体" w:cs="宋体"/>
                <w:sz w:val="24"/>
              </w:rPr>
            </w:pPr>
          </w:p>
        </w:tc>
      </w:tr>
      <w:tr w14:paraId="0FE70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895" w:type="dxa"/>
            <w:vAlign w:val="center"/>
          </w:tcPr>
          <w:p w14:paraId="547301C4">
            <w:pPr>
              <w:pStyle w:val="5"/>
              <w:spacing w:line="360" w:lineRule="auto"/>
              <w:ind w:firstLine="480"/>
              <w:jc w:val="center"/>
              <w:rPr>
                <w:rFonts w:ascii="宋体" w:hAnsi="宋体" w:cs="宋体"/>
                <w:sz w:val="24"/>
              </w:rPr>
            </w:pPr>
          </w:p>
        </w:tc>
        <w:tc>
          <w:tcPr>
            <w:tcW w:w="2584" w:type="dxa"/>
            <w:vAlign w:val="center"/>
          </w:tcPr>
          <w:p w14:paraId="3171239C">
            <w:pPr>
              <w:pStyle w:val="5"/>
              <w:spacing w:line="360" w:lineRule="auto"/>
              <w:ind w:firstLine="480"/>
              <w:jc w:val="center"/>
              <w:rPr>
                <w:rFonts w:ascii="宋体" w:hAnsi="宋体" w:cs="宋体"/>
                <w:sz w:val="24"/>
              </w:rPr>
            </w:pPr>
          </w:p>
        </w:tc>
        <w:tc>
          <w:tcPr>
            <w:tcW w:w="2330" w:type="dxa"/>
            <w:vAlign w:val="center"/>
          </w:tcPr>
          <w:p w14:paraId="688339B5">
            <w:pPr>
              <w:pStyle w:val="5"/>
              <w:spacing w:line="360" w:lineRule="auto"/>
              <w:ind w:firstLine="480"/>
              <w:jc w:val="center"/>
              <w:rPr>
                <w:rFonts w:ascii="宋体" w:hAnsi="宋体" w:cs="宋体"/>
                <w:sz w:val="24"/>
              </w:rPr>
            </w:pPr>
          </w:p>
        </w:tc>
        <w:tc>
          <w:tcPr>
            <w:tcW w:w="3049" w:type="dxa"/>
            <w:vAlign w:val="center"/>
          </w:tcPr>
          <w:p w14:paraId="264BA544">
            <w:pPr>
              <w:pStyle w:val="5"/>
              <w:spacing w:line="360" w:lineRule="auto"/>
              <w:ind w:firstLine="480"/>
              <w:jc w:val="center"/>
              <w:rPr>
                <w:rFonts w:ascii="宋体" w:hAnsi="宋体" w:cs="宋体"/>
                <w:sz w:val="24"/>
              </w:rPr>
            </w:pPr>
          </w:p>
        </w:tc>
      </w:tr>
      <w:tr w14:paraId="6FC11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895" w:type="dxa"/>
            <w:vAlign w:val="center"/>
          </w:tcPr>
          <w:p w14:paraId="399E4C83">
            <w:pPr>
              <w:pStyle w:val="5"/>
              <w:spacing w:line="360" w:lineRule="auto"/>
              <w:ind w:firstLine="480"/>
              <w:jc w:val="center"/>
              <w:rPr>
                <w:rFonts w:ascii="宋体" w:hAnsi="宋体" w:cs="宋体"/>
                <w:sz w:val="24"/>
              </w:rPr>
            </w:pPr>
          </w:p>
        </w:tc>
        <w:tc>
          <w:tcPr>
            <w:tcW w:w="2584" w:type="dxa"/>
            <w:vAlign w:val="center"/>
          </w:tcPr>
          <w:p w14:paraId="2BD44D9C">
            <w:pPr>
              <w:pStyle w:val="5"/>
              <w:spacing w:line="360" w:lineRule="auto"/>
              <w:ind w:firstLine="480"/>
              <w:jc w:val="center"/>
              <w:rPr>
                <w:rFonts w:ascii="宋体" w:hAnsi="宋体" w:cs="宋体"/>
                <w:sz w:val="24"/>
              </w:rPr>
            </w:pPr>
          </w:p>
        </w:tc>
        <w:tc>
          <w:tcPr>
            <w:tcW w:w="2330" w:type="dxa"/>
            <w:vAlign w:val="center"/>
          </w:tcPr>
          <w:p w14:paraId="3ECAA263">
            <w:pPr>
              <w:pStyle w:val="5"/>
              <w:spacing w:line="360" w:lineRule="auto"/>
              <w:ind w:firstLine="480"/>
              <w:jc w:val="center"/>
              <w:rPr>
                <w:rFonts w:ascii="宋体" w:hAnsi="宋体" w:cs="宋体"/>
                <w:sz w:val="24"/>
              </w:rPr>
            </w:pPr>
          </w:p>
        </w:tc>
        <w:tc>
          <w:tcPr>
            <w:tcW w:w="3049" w:type="dxa"/>
            <w:vAlign w:val="center"/>
          </w:tcPr>
          <w:p w14:paraId="3A669898">
            <w:pPr>
              <w:pStyle w:val="5"/>
              <w:spacing w:line="360" w:lineRule="auto"/>
              <w:ind w:firstLine="480"/>
              <w:jc w:val="center"/>
              <w:rPr>
                <w:rFonts w:ascii="宋体" w:hAnsi="宋体" w:cs="宋体"/>
                <w:sz w:val="24"/>
              </w:rPr>
            </w:pPr>
          </w:p>
        </w:tc>
      </w:tr>
      <w:tr w14:paraId="6CFB5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2" w:hRule="atLeast"/>
          <w:jc w:val="center"/>
        </w:trPr>
        <w:tc>
          <w:tcPr>
            <w:tcW w:w="895" w:type="dxa"/>
            <w:vAlign w:val="center"/>
          </w:tcPr>
          <w:p w14:paraId="00EF2AF4">
            <w:pPr>
              <w:pStyle w:val="5"/>
              <w:spacing w:line="360" w:lineRule="auto"/>
              <w:ind w:firstLine="480"/>
              <w:jc w:val="center"/>
              <w:rPr>
                <w:rFonts w:ascii="宋体" w:hAnsi="宋体" w:cs="宋体"/>
                <w:sz w:val="24"/>
              </w:rPr>
            </w:pPr>
          </w:p>
        </w:tc>
        <w:tc>
          <w:tcPr>
            <w:tcW w:w="2584" w:type="dxa"/>
            <w:vAlign w:val="center"/>
          </w:tcPr>
          <w:p w14:paraId="7BEF50AF">
            <w:pPr>
              <w:pStyle w:val="5"/>
              <w:spacing w:line="360" w:lineRule="auto"/>
              <w:ind w:firstLine="480"/>
              <w:jc w:val="center"/>
              <w:rPr>
                <w:rFonts w:ascii="宋体" w:hAnsi="宋体" w:cs="宋体"/>
                <w:sz w:val="24"/>
              </w:rPr>
            </w:pPr>
          </w:p>
        </w:tc>
        <w:tc>
          <w:tcPr>
            <w:tcW w:w="2330" w:type="dxa"/>
            <w:vAlign w:val="center"/>
          </w:tcPr>
          <w:p w14:paraId="5EEB0476">
            <w:pPr>
              <w:pStyle w:val="5"/>
              <w:spacing w:line="360" w:lineRule="auto"/>
              <w:ind w:firstLine="480"/>
              <w:jc w:val="center"/>
              <w:rPr>
                <w:rFonts w:ascii="宋体" w:hAnsi="宋体" w:cs="宋体"/>
                <w:sz w:val="24"/>
              </w:rPr>
            </w:pPr>
          </w:p>
        </w:tc>
        <w:tc>
          <w:tcPr>
            <w:tcW w:w="3049" w:type="dxa"/>
            <w:vAlign w:val="center"/>
          </w:tcPr>
          <w:p w14:paraId="3B15F7FC">
            <w:pPr>
              <w:pStyle w:val="5"/>
              <w:spacing w:line="360" w:lineRule="auto"/>
              <w:ind w:firstLine="480"/>
              <w:jc w:val="center"/>
              <w:rPr>
                <w:rFonts w:ascii="宋体" w:hAnsi="宋体" w:cs="宋体"/>
                <w:sz w:val="24"/>
              </w:rPr>
            </w:pPr>
          </w:p>
        </w:tc>
      </w:tr>
    </w:tbl>
    <w:p w14:paraId="28F4F50F">
      <w:pPr>
        <w:spacing w:line="360" w:lineRule="auto"/>
        <w:jc w:val="center"/>
        <w:rPr>
          <w:rFonts w:ascii="宋体" w:hAnsi="宋体"/>
          <w:bCs/>
          <w:sz w:val="24"/>
          <w:szCs w:val="28"/>
        </w:rPr>
      </w:pPr>
    </w:p>
    <w:p w14:paraId="38CB1030">
      <w:pPr>
        <w:pStyle w:val="4"/>
        <w:tabs>
          <w:tab w:val="left" w:pos="425"/>
        </w:tabs>
        <w:ind w:left="709" w:hanging="709"/>
        <w:rPr>
          <w:rFonts w:hAnsi="宋体"/>
          <w:lang w:val="zh-CN"/>
        </w:rPr>
      </w:pPr>
      <w:r>
        <w:rPr>
          <w:rFonts w:hAnsi="宋体"/>
          <w:bCs/>
          <w:sz w:val="24"/>
          <w:szCs w:val="28"/>
        </w:rPr>
        <w:br w:type="page"/>
      </w:r>
      <w:bookmarkStart w:id="410" w:name="_Toc14815"/>
      <w:bookmarkStart w:id="411" w:name="_Toc31293"/>
      <w:r>
        <w:rPr>
          <w:rFonts w:hint="eastAsia" w:hAnsi="宋体"/>
          <w:b/>
          <w:sz w:val="32"/>
          <w:lang w:val="zh-CN"/>
        </w:rPr>
        <w:t>格式1</w:t>
      </w:r>
      <w:r>
        <w:rPr>
          <w:rFonts w:hint="eastAsia" w:hAnsi="宋体"/>
          <w:b/>
          <w:sz w:val="32"/>
          <w:lang w:val="en-US" w:eastAsia="zh-CN"/>
        </w:rPr>
        <w:t>2</w:t>
      </w:r>
      <w:r>
        <w:rPr>
          <w:rFonts w:hint="eastAsia" w:hAnsi="宋体"/>
          <w:b/>
          <w:sz w:val="32"/>
          <w:lang w:val="zh-CN"/>
        </w:rPr>
        <w:t>、</w:t>
      </w:r>
      <w:bookmarkStart w:id="412" w:name="_Toc487036155"/>
      <w:r>
        <w:rPr>
          <w:rFonts w:hint="eastAsia" w:hAnsi="宋体"/>
          <w:b/>
          <w:sz w:val="32"/>
          <w:szCs w:val="32"/>
        </w:rPr>
        <w:t>竞争性磋商首次报价表</w:t>
      </w:r>
      <w:bookmarkEnd w:id="410"/>
      <w:bookmarkEnd w:id="411"/>
      <w:bookmarkEnd w:id="412"/>
    </w:p>
    <w:p w14:paraId="07673D5C">
      <w:pPr>
        <w:autoSpaceDE w:val="0"/>
        <w:autoSpaceDN w:val="0"/>
        <w:adjustRightInd w:val="0"/>
        <w:spacing w:line="360" w:lineRule="auto"/>
        <w:jc w:val="center"/>
        <w:rPr>
          <w:rFonts w:ascii="宋体" w:hAnsi="宋体"/>
          <w:b/>
          <w:sz w:val="32"/>
          <w:szCs w:val="32"/>
        </w:rPr>
      </w:pPr>
    </w:p>
    <w:p w14:paraId="643F61A4">
      <w:pPr>
        <w:autoSpaceDE w:val="0"/>
        <w:autoSpaceDN w:val="0"/>
        <w:adjustRightInd w:val="0"/>
        <w:spacing w:line="360" w:lineRule="auto"/>
        <w:jc w:val="center"/>
        <w:rPr>
          <w:rFonts w:ascii="宋体" w:hAnsi="宋体"/>
          <w:b/>
          <w:sz w:val="32"/>
          <w:szCs w:val="32"/>
        </w:rPr>
      </w:pPr>
      <w:r>
        <w:rPr>
          <w:rFonts w:hint="eastAsia" w:ascii="宋体" w:hAnsi="宋体"/>
          <w:b/>
          <w:sz w:val="32"/>
          <w:szCs w:val="32"/>
        </w:rPr>
        <w:t>竞争性磋商首次报价表</w:t>
      </w:r>
    </w:p>
    <w:p w14:paraId="605B7072">
      <w:pPr>
        <w:autoSpaceDE w:val="0"/>
        <w:autoSpaceDN w:val="0"/>
        <w:adjustRightInd w:val="0"/>
        <w:spacing w:line="360" w:lineRule="auto"/>
        <w:rPr>
          <w:rFonts w:ascii="宋体" w:hAnsi="宋体" w:cs="宋体"/>
          <w:b/>
          <w:bCs/>
          <w:kern w:val="0"/>
          <w:sz w:val="24"/>
          <w:lang w:val="zh-CN"/>
        </w:rPr>
      </w:pPr>
    </w:p>
    <w:p w14:paraId="29BFD914">
      <w:pPr>
        <w:autoSpaceDE w:val="0"/>
        <w:autoSpaceDN w:val="0"/>
        <w:spacing w:line="360" w:lineRule="auto"/>
        <w:jc w:val="right"/>
        <w:rPr>
          <w:rFonts w:ascii="宋体" w:hAnsi="宋体" w:cs="宋体"/>
          <w:bCs/>
          <w:kern w:val="0"/>
          <w:sz w:val="24"/>
          <w:lang w:val="zh-CN"/>
        </w:rPr>
      </w:pPr>
    </w:p>
    <w:p w14:paraId="40B52203">
      <w:pPr>
        <w:autoSpaceDE w:val="0"/>
        <w:autoSpaceDN w:val="0"/>
        <w:spacing w:line="360" w:lineRule="auto"/>
        <w:jc w:val="left"/>
        <w:rPr>
          <w:rFonts w:ascii="宋体" w:hAnsi="宋体" w:cs="宋体"/>
          <w:b/>
          <w:bCs/>
          <w:sz w:val="24"/>
        </w:rPr>
      </w:pPr>
      <w:r>
        <w:rPr>
          <w:rFonts w:hint="eastAsia" w:ascii="宋体" w:hAnsi="宋体" w:cs="宋体"/>
          <w:b/>
          <w:bCs/>
          <w:sz w:val="24"/>
          <w:lang w:val="zh-CN"/>
        </w:rPr>
        <w:t>供应商名称：</w:t>
      </w:r>
    </w:p>
    <w:p w14:paraId="2D42A69A">
      <w:pPr>
        <w:autoSpaceDE w:val="0"/>
        <w:autoSpaceDN w:val="0"/>
        <w:spacing w:line="360" w:lineRule="auto"/>
        <w:jc w:val="right"/>
        <w:rPr>
          <w:rFonts w:ascii="宋体" w:hAnsi="宋体" w:cs="宋体"/>
          <w:b/>
          <w:bCs/>
          <w:sz w:val="24"/>
          <w:lang w:val="zh-CN"/>
        </w:rPr>
      </w:pPr>
      <w:r>
        <w:rPr>
          <w:rFonts w:hint="eastAsia" w:ascii="宋体" w:hAnsi="宋体" w:cs="宋体"/>
          <w:bCs/>
          <w:kern w:val="0"/>
          <w:sz w:val="24"/>
          <w:lang w:val="zh-CN"/>
        </w:rPr>
        <w:t>单位：人民币（元）</w:t>
      </w:r>
    </w:p>
    <w:tbl>
      <w:tblPr>
        <w:tblStyle w:val="33"/>
        <w:tblW w:w="9416" w:type="dxa"/>
        <w:jc w:val="center"/>
        <w:tblLayout w:type="fixed"/>
        <w:tblCellMar>
          <w:top w:w="0" w:type="dxa"/>
          <w:left w:w="108" w:type="dxa"/>
          <w:bottom w:w="0" w:type="dxa"/>
          <w:right w:w="108" w:type="dxa"/>
        </w:tblCellMar>
      </w:tblPr>
      <w:tblGrid>
        <w:gridCol w:w="2414"/>
        <w:gridCol w:w="3188"/>
        <w:gridCol w:w="2129"/>
        <w:gridCol w:w="1685"/>
      </w:tblGrid>
      <w:tr w14:paraId="772D31A4">
        <w:tblPrEx>
          <w:tblCellMar>
            <w:top w:w="0" w:type="dxa"/>
            <w:left w:w="108" w:type="dxa"/>
            <w:bottom w:w="0" w:type="dxa"/>
            <w:right w:w="108" w:type="dxa"/>
          </w:tblCellMar>
        </w:tblPrEx>
        <w:trPr>
          <w:trHeight w:val="699" w:hRule="atLeast"/>
          <w:jc w:val="center"/>
        </w:trPr>
        <w:tc>
          <w:tcPr>
            <w:tcW w:w="2414"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44BAFE6C">
            <w:pPr>
              <w:autoSpaceDE w:val="0"/>
              <w:autoSpaceDN w:val="0"/>
              <w:spacing w:line="360" w:lineRule="auto"/>
              <w:jc w:val="center"/>
              <w:rPr>
                <w:rFonts w:ascii="Arial" w:hAnsi="Arial" w:cs="Arial"/>
                <w:sz w:val="24"/>
                <w:lang w:val="zh-CN"/>
              </w:rPr>
            </w:pPr>
            <w:r>
              <w:rPr>
                <w:rFonts w:ascii="Arial" w:hAnsi="Arial" w:cs="Arial"/>
                <w:bCs/>
                <w:sz w:val="24"/>
                <w:lang w:val="zh-CN"/>
              </w:rPr>
              <w:t>项目名称</w:t>
            </w: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77F22A32">
            <w:pPr>
              <w:autoSpaceDE w:val="0"/>
              <w:autoSpaceDN w:val="0"/>
              <w:spacing w:line="360" w:lineRule="auto"/>
              <w:ind w:firstLine="482"/>
              <w:jc w:val="center"/>
              <w:rPr>
                <w:rFonts w:ascii="Arial" w:hAnsi="Arial" w:cs="Arial"/>
                <w:lang w:val="zh-CN"/>
              </w:rPr>
            </w:pPr>
            <w:r>
              <w:rPr>
                <w:rFonts w:hint="eastAsia" w:ascii="Arial" w:hAnsi="Arial" w:cs="Arial"/>
                <w:bCs/>
                <w:sz w:val="24"/>
                <w:lang w:val="zh-CN"/>
              </w:rPr>
              <w:t>磋商首次</w:t>
            </w:r>
            <w:r>
              <w:rPr>
                <w:rFonts w:ascii="Arial" w:hAnsi="Arial" w:cs="Arial"/>
                <w:bCs/>
                <w:sz w:val="24"/>
                <w:lang w:val="zh-CN"/>
              </w:rPr>
              <w:t>报价</w:t>
            </w:r>
          </w:p>
        </w:tc>
        <w:tc>
          <w:tcPr>
            <w:tcW w:w="2129"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4F650649">
            <w:pPr>
              <w:autoSpaceDE w:val="0"/>
              <w:autoSpaceDN w:val="0"/>
              <w:spacing w:line="360" w:lineRule="auto"/>
              <w:jc w:val="center"/>
              <w:rPr>
                <w:rFonts w:ascii="Arial" w:hAnsi="Arial" w:cs="Arial"/>
                <w:sz w:val="24"/>
                <w:lang w:val="zh-CN"/>
              </w:rPr>
            </w:pPr>
            <w:r>
              <w:rPr>
                <w:rFonts w:hint="eastAsia" w:ascii="Arial" w:hAnsi="Arial" w:cs="Arial"/>
                <w:bCs/>
                <w:sz w:val="24"/>
                <w:lang w:val="zh-CN"/>
              </w:rPr>
              <w:t>服务</w:t>
            </w:r>
            <w:r>
              <w:rPr>
                <w:rFonts w:ascii="Arial" w:hAnsi="Arial" w:cs="Arial"/>
                <w:bCs/>
                <w:sz w:val="24"/>
                <w:lang w:val="zh-CN"/>
              </w:rPr>
              <w:t>期</w:t>
            </w:r>
          </w:p>
        </w:tc>
        <w:tc>
          <w:tcPr>
            <w:tcW w:w="1685"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47BAB9EF">
            <w:pPr>
              <w:autoSpaceDE w:val="0"/>
              <w:autoSpaceDN w:val="0"/>
              <w:spacing w:line="360" w:lineRule="auto"/>
              <w:jc w:val="center"/>
              <w:rPr>
                <w:rFonts w:ascii="Arial" w:hAnsi="Arial" w:cs="Arial"/>
                <w:lang w:val="zh-CN"/>
              </w:rPr>
            </w:pPr>
            <w:r>
              <w:rPr>
                <w:rFonts w:ascii="Arial" w:hAnsi="Arial" w:cs="Arial"/>
                <w:bCs/>
                <w:sz w:val="24"/>
                <w:lang w:val="zh-CN"/>
              </w:rPr>
              <w:t>备注</w:t>
            </w:r>
          </w:p>
        </w:tc>
      </w:tr>
      <w:tr w14:paraId="5AE7D68C">
        <w:tblPrEx>
          <w:tblCellMar>
            <w:top w:w="0" w:type="dxa"/>
            <w:left w:w="108" w:type="dxa"/>
            <w:bottom w:w="0" w:type="dxa"/>
            <w:right w:w="108" w:type="dxa"/>
          </w:tblCellMar>
        </w:tblPrEx>
        <w:trPr>
          <w:trHeight w:val="555" w:hRule="atLeast"/>
          <w:jc w:val="center"/>
        </w:trPr>
        <w:tc>
          <w:tcPr>
            <w:tcW w:w="2414" w:type="dxa"/>
            <w:vMerge w:val="restart"/>
            <w:tcBorders>
              <w:top w:val="single" w:color="000000" w:sz="6" w:space="0"/>
              <w:left w:val="single" w:color="000000" w:sz="6" w:space="0"/>
              <w:right w:val="single" w:color="000000" w:sz="6" w:space="0"/>
            </w:tcBorders>
            <w:shd w:val="clear" w:color="000000" w:fill="FFFFFF"/>
            <w:vAlign w:val="center"/>
          </w:tcPr>
          <w:p w14:paraId="744613EB">
            <w:pPr>
              <w:autoSpaceDE w:val="0"/>
              <w:autoSpaceDN w:val="0"/>
              <w:spacing w:line="360" w:lineRule="auto"/>
              <w:jc w:val="center"/>
              <w:rPr>
                <w:rFonts w:ascii="Arial" w:hAnsi="Arial" w:cs="Arial"/>
                <w:lang w:val="zh-CN"/>
              </w:rPr>
            </w:pPr>
            <w:r>
              <w:rPr>
                <w:rFonts w:hint="eastAsia" w:ascii="Arial" w:hAnsi="Arial" w:cs="Arial"/>
                <w:bCs/>
                <w:sz w:val="24"/>
                <w:lang w:val="zh-CN"/>
              </w:rPr>
              <w:t>青海省养老服务中心食堂餐饮管理服务项目</w:t>
            </w: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12605FCC">
            <w:pPr>
              <w:autoSpaceDE w:val="0"/>
              <w:autoSpaceDN w:val="0"/>
              <w:spacing w:line="360" w:lineRule="auto"/>
              <w:rPr>
                <w:rFonts w:ascii="Arial" w:hAnsi="Arial" w:cs="Arial"/>
                <w:lang w:val="zh-CN"/>
              </w:rPr>
            </w:pPr>
            <w:r>
              <w:rPr>
                <w:rFonts w:ascii="Arial" w:hAnsi="Arial" w:cs="Arial"/>
                <w:bCs/>
                <w:sz w:val="24"/>
                <w:lang w:val="zh-CN"/>
              </w:rPr>
              <w:t>大写：</w:t>
            </w:r>
          </w:p>
        </w:tc>
        <w:tc>
          <w:tcPr>
            <w:tcW w:w="2129" w:type="dxa"/>
            <w:vMerge w:val="restart"/>
            <w:tcBorders>
              <w:top w:val="single" w:color="000000" w:sz="6" w:space="0"/>
              <w:left w:val="single" w:color="000000" w:sz="6" w:space="0"/>
              <w:right w:val="single" w:color="000000" w:sz="6" w:space="0"/>
            </w:tcBorders>
            <w:shd w:val="clear" w:color="000000" w:fill="FFFFFF"/>
            <w:vAlign w:val="center"/>
          </w:tcPr>
          <w:p w14:paraId="63AFBEBB">
            <w:pPr>
              <w:autoSpaceDE w:val="0"/>
              <w:autoSpaceDN w:val="0"/>
              <w:spacing w:line="360" w:lineRule="auto"/>
              <w:ind w:firstLine="197"/>
              <w:jc w:val="center"/>
              <w:rPr>
                <w:rFonts w:ascii="Arial" w:hAnsi="Arial" w:cs="Arial"/>
                <w:lang w:val="zh-CN"/>
              </w:rPr>
            </w:pPr>
          </w:p>
        </w:tc>
        <w:tc>
          <w:tcPr>
            <w:tcW w:w="1685" w:type="dxa"/>
            <w:vMerge w:val="restart"/>
            <w:tcBorders>
              <w:top w:val="single" w:color="000000" w:sz="6" w:space="0"/>
              <w:left w:val="single" w:color="000000" w:sz="6" w:space="0"/>
              <w:bottom w:val="single" w:color="000000" w:sz="6" w:space="0"/>
              <w:right w:val="single" w:color="000000" w:sz="6" w:space="0"/>
            </w:tcBorders>
            <w:shd w:val="clear" w:color="000000" w:fill="FFFFFF"/>
            <w:vAlign w:val="center"/>
          </w:tcPr>
          <w:p w14:paraId="63B4AFAA">
            <w:pPr>
              <w:autoSpaceDE w:val="0"/>
              <w:autoSpaceDN w:val="0"/>
              <w:spacing w:line="360" w:lineRule="auto"/>
              <w:jc w:val="center"/>
              <w:rPr>
                <w:rFonts w:ascii="Arial" w:hAnsi="Arial" w:cs="Arial"/>
                <w:lang w:val="zh-CN"/>
              </w:rPr>
            </w:pPr>
          </w:p>
        </w:tc>
      </w:tr>
      <w:tr w14:paraId="126B1C58">
        <w:tblPrEx>
          <w:tblCellMar>
            <w:top w:w="0" w:type="dxa"/>
            <w:left w:w="108" w:type="dxa"/>
            <w:bottom w:w="0" w:type="dxa"/>
            <w:right w:w="108" w:type="dxa"/>
          </w:tblCellMar>
        </w:tblPrEx>
        <w:trPr>
          <w:trHeight w:val="577" w:hRule="atLeast"/>
          <w:jc w:val="center"/>
        </w:trPr>
        <w:tc>
          <w:tcPr>
            <w:tcW w:w="2414" w:type="dxa"/>
            <w:vMerge w:val="continue"/>
            <w:tcBorders>
              <w:left w:val="single" w:color="000000" w:sz="6" w:space="0"/>
              <w:bottom w:val="single" w:color="000000" w:sz="6" w:space="0"/>
              <w:right w:val="single" w:color="000000" w:sz="6" w:space="0"/>
            </w:tcBorders>
            <w:shd w:val="clear" w:color="000000" w:fill="FFFFFF"/>
            <w:vAlign w:val="center"/>
          </w:tcPr>
          <w:p w14:paraId="4A332E76">
            <w:pPr>
              <w:autoSpaceDE w:val="0"/>
              <w:autoSpaceDN w:val="0"/>
              <w:spacing w:line="360" w:lineRule="auto"/>
              <w:jc w:val="center"/>
              <w:rPr>
                <w:rFonts w:ascii="Arial" w:hAnsi="Arial" w:cs="Arial"/>
                <w:lang w:val="zh-CN"/>
              </w:rPr>
            </w:pP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00DCF035">
            <w:pPr>
              <w:autoSpaceDE w:val="0"/>
              <w:autoSpaceDN w:val="0"/>
              <w:spacing w:line="360" w:lineRule="auto"/>
              <w:rPr>
                <w:rFonts w:ascii="Arial" w:hAnsi="Arial" w:cs="Arial"/>
                <w:lang w:val="zh-CN"/>
              </w:rPr>
            </w:pPr>
            <w:r>
              <w:rPr>
                <w:rFonts w:ascii="Arial" w:hAnsi="Arial" w:cs="Arial"/>
                <w:bCs/>
                <w:sz w:val="24"/>
                <w:lang w:val="zh-CN"/>
              </w:rPr>
              <w:t>小写：</w:t>
            </w:r>
          </w:p>
        </w:tc>
        <w:tc>
          <w:tcPr>
            <w:tcW w:w="2129" w:type="dxa"/>
            <w:vMerge w:val="continue"/>
            <w:tcBorders>
              <w:left w:val="single" w:color="000000" w:sz="6" w:space="0"/>
              <w:bottom w:val="single" w:color="000000" w:sz="6" w:space="0"/>
              <w:right w:val="single" w:color="000000" w:sz="6" w:space="0"/>
            </w:tcBorders>
            <w:shd w:val="clear" w:color="000000" w:fill="FFFFFF"/>
            <w:vAlign w:val="center"/>
          </w:tcPr>
          <w:p w14:paraId="340A5CBA">
            <w:pPr>
              <w:autoSpaceDE w:val="0"/>
              <w:autoSpaceDN w:val="0"/>
              <w:spacing w:line="360" w:lineRule="auto"/>
              <w:jc w:val="center"/>
              <w:rPr>
                <w:rFonts w:ascii="Arial" w:hAnsi="Arial" w:cs="Arial"/>
                <w:lang w:val="zh-CN"/>
              </w:rPr>
            </w:pPr>
          </w:p>
        </w:tc>
        <w:tc>
          <w:tcPr>
            <w:tcW w:w="1685" w:type="dxa"/>
            <w:vMerge w:val="continue"/>
            <w:tcBorders>
              <w:top w:val="single" w:color="000000" w:sz="6" w:space="0"/>
              <w:left w:val="single" w:color="000000" w:sz="6" w:space="0"/>
              <w:bottom w:val="single" w:color="000000" w:sz="6" w:space="0"/>
              <w:right w:val="single" w:color="000000" w:sz="6" w:space="0"/>
            </w:tcBorders>
            <w:shd w:val="clear" w:color="000000" w:fill="FFFFFF"/>
            <w:vAlign w:val="center"/>
          </w:tcPr>
          <w:p w14:paraId="0E70F704">
            <w:pPr>
              <w:autoSpaceDE w:val="0"/>
              <w:autoSpaceDN w:val="0"/>
              <w:spacing w:line="360" w:lineRule="auto"/>
              <w:jc w:val="center"/>
              <w:rPr>
                <w:rFonts w:ascii="Arial" w:hAnsi="Arial" w:cs="Arial"/>
                <w:lang w:val="zh-CN"/>
              </w:rPr>
            </w:pPr>
          </w:p>
        </w:tc>
      </w:tr>
      <w:tr w14:paraId="4CFFFDDD">
        <w:tblPrEx>
          <w:tblCellMar>
            <w:top w:w="0" w:type="dxa"/>
            <w:left w:w="108" w:type="dxa"/>
            <w:bottom w:w="0" w:type="dxa"/>
            <w:right w:w="108" w:type="dxa"/>
          </w:tblCellMar>
        </w:tblPrEx>
        <w:trPr>
          <w:trHeight w:val="1283" w:hRule="atLeast"/>
          <w:jc w:val="center"/>
        </w:trPr>
        <w:tc>
          <w:tcPr>
            <w:tcW w:w="9416" w:type="dxa"/>
            <w:gridSpan w:val="4"/>
            <w:tcBorders>
              <w:top w:val="single" w:color="000000" w:sz="6" w:space="0"/>
              <w:left w:val="single" w:color="000000" w:sz="6" w:space="0"/>
              <w:bottom w:val="single" w:color="000000" w:sz="6" w:space="0"/>
              <w:right w:val="single" w:color="000000" w:sz="6" w:space="0"/>
            </w:tcBorders>
            <w:shd w:val="clear" w:color="000000" w:fill="FFFFFF"/>
          </w:tcPr>
          <w:p w14:paraId="450A1192">
            <w:pPr>
              <w:autoSpaceDE w:val="0"/>
              <w:autoSpaceDN w:val="0"/>
              <w:spacing w:line="360" w:lineRule="auto"/>
              <w:rPr>
                <w:rFonts w:ascii="Arial" w:hAnsi="Arial" w:cs="Arial"/>
                <w:lang w:val="zh-CN"/>
              </w:rPr>
            </w:pPr>
            <w:r>
              <w:rPr>
                <w:rFonts w:ascii="Arial" w:hAnsi="Arial" w:cs="Arial"/>
                <w:bCs/>
                <w:sz w:val="24"/>
                <w:lang w:val="zh-CN"/>
              </w:rPr>
              <w:t>优惠承诺及其他：</w:t>
            </w:r>
          </w:p>
        </w:tc>
      </w:tr>
    </w:tbl>
    <w:p w14:paraId="493B006E">
      <w:pPr>
        <w:autoSpaceDE w:val="0"/>
        <w:autoSpaceDN w:val="0"/>
        <w:spacing w:line="360" w:lineRule="auto"/>
        <w:rPr>
          <w:rFonts w:ascii="宋体" w:hAnsi="宋体" w:cs="宋体"/>
          <w:szCs w:val="21"/>
          <w:lang w:val="zh-CN"/>
        </w:rPr>
      </w:pPr>
      <w:r>
        <w:rPr>
          <w:rFonts w:hint="eastAsia" w:ascii="宋体" w:hAnsi="宋体" w:cs="宋体"/>
          <w:szCs w:val="21"/>
          <w:lang w:val="zh-CN"/>
        </w:rPr>
        <w:t>注：1、填写此表时不得改变表格形式（可按所投包增加行）。</w:t>
      </w:r>
    </w:p>
    <w:p w14:paraId="6147F252">
      <w:pPr>
        <w:spacing w:line="360" w:lineRule="auto"/>
        <w:ind w:firstLine="405" w:firstLineChars="193"/>
        <w:rPr>
          <w:rFonts w:ascii="宋体" w:hAnsi="宋体" w:cs="宋体"/>
          <w:szCs w:val="21"/>
          <w:lang w:val="zh-CN"/>
        </w:rPr>
      </w:pPr>
      <w:r>
        <w:rPr>
          <w:rFonts w:hint="eastAsia" w:ascii="宋体" w:hAnsi="宋体" w:cs="宋体"/>
          <w:szCs w:val="21"/>
          <w:lang w:val="zh-CN"/>
        </w:rPr>
        <w:t>2、“磋商报价”为磋商总价。磋商报价必须包括：服务费、管理费、人员费、保险费、税金及其他不可预见费等全部费用。</w:t>
      </w:r>
    </w:p>
    <w:p w14:paraId="478BDA63">
      <w:pPr>
        <w:spacing w:line="360" w:lineRule="auto"/>
        <w:ind w:firstLine="405" w:firstLineChars="193"/>
        <w:rPr>
          <w:rFonts w:ascii="宋体" w:hAnsi="宋体" w:cs="宋体"/>
          <w:kern w:val="0"/>
          <w:szCs w:val="21"/>
          <w:lang w:val="zh-CN"/>
        </w:rPr>
      </w:pPr>
      <w:r>
        <w:rPr>
          <w:rFonts w:hint="eastAsia" w:ascii="宋体" w:hAnsi="宋体" w:cs="宋体"/>
          <w:szCs w:val="21"/>
          <w:lang w:val="zh-CN"/>
        </w:rPr>
        <w:t>3、“服务时间”是指服务能够交付使用的具体时间。</w:t>
      </w:r>
    </w:p>
    <w:p w14:paraId="041DA0C7">
      <w:pPr>
        <w:spacing w:line="360" w:lineRule="auto"/>
        <w:ind w:firstLine="405" w:firstLineChars="193"/>
        <w:rPr>
          <w:rFonts w:ascii="宋体" w:hAnsi="宋体" w:cs="宋体"/>
          <w:kern w:val="0"/>
          <w:szCs w:val="21"/>
          <w:lang w:val="zh-CN"/>
        </w:rPr>
      </w:pPr>
      <w:r>
        <w:rPr>
          <w:rFonts w:hint="eastAsia" w:ascii="宋体" w:hAnsi="宋体" w:cs="宋体"/>
          <w:szCs w:val="21"/>
        </w:rPr>
        <w:t>4</w:t>
      </w:r>
      <w:r>
        <w:rPr>
          <w:rFonts w:hint="eastAsia" w:ascii="宋体" w:hAnsi="宋体" w:cs="宋体"/>
          <w:szCs w:val="21"/>
          <w:lang w:val="zh-CN"/>
        </w:rPr>
        <w:t>、磋商报价不能有两个或两个以上的报价方案。</w:t>
      </w:r>
    </w:p>
    <w:p w14:paraId="06A400DA">
      <w:pPr>
        <w:spacing w:line="360" w:lineRule="auto"/>
        <w:ind w:firstLine="388" w:firstLineChars="193"/>
        <w:rPr>
          <w:rFonts w:ascii="宋体" w:hAnsi="宋体" w:cs="宋体"/>
          <w:b/>
          <w:bCs/>
          <w:kern w:val="0"/>
          <w:sz w:val="20"/>
          <w:lang w:val="zh-CN"/>
        </w:rPr>
      </w:pPr>
    </w:p>
    <w:p w14:paraId="25476493">
      <w:pPr>
        <w:spacing w:line="360" w:lineRule="auto"/>
        <w:ind w:firstLine="388" w:firstLineChars="193"/>
        <w:rPr>
          <w:rFonts w:ascii="宋体" w:hAnsi="宋体" w:cs="宋体"/>
          <w:b/>
          <w:bCs/>
          <w:kern w:val="0"/>
          <w:sz w:val="20"/>
          <w:lang w:val="zh-CN"/>
        </w:rPr>
      </w:pPr>
    </w:p>
    <w:p w14:paraId="69B0622D">
      <w:pPr>
        <w:spacing w:line="360" w:lineRule="auto"/>
        <w:ind w:firstLine="388" w:firstLineChars="193"/>
        <w:rPr>
          <w:rFonts w:ascii="宋体" w:hAnsi="宋体" w:cs="宋体"/>
          <w:b/>
          <w:bCs/>
          <w:kern w:val="0"/>
          <w:sz w:val="20"/>
          <w:lang w:val="zh-CN"/>
        </w:rPr>
      </w:pPr>
    </w:p>
    <w:p w14:paraId="77C36959">
      <w:pPr>
        <w:spacing w:line="360" w:lineRule="auto"/>
        <w:ind w:firstLine="388" w:firstLineChars="193"/>
        <w:rPr>
          <w:rFonts w:ascii="宋体" w:hAnsi="宋体" w:cs="宋体"/>
          <w:b/>
          <w:bCs/>
          <w:kern w:val="0"/>
          <w:sz w:val="20"/>
          <w:szCs w:val="22"/>
          <w:lang w:val="zh-CN"/>
        </w:rPr>
      </w:pPr>
    </w:p>
    <w:p w14:paraId="1B776626">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供应商名称：             （公章）</w:t>
      </w:r>
    </w:p>
    <w:p w14:paraId="68BAEF4F">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rPr>
        <w:t>法定代表人或委托代理人：                 （签字或盖章）</w:t>
      </w:r>
    </w:p>
    <w:p w14:paraId="33F64B9D">
      <w:pPr>
        <w:autoSpaceDE w:val="0"/>
        <w:autoSpaceDN w:val="0"/>
        <w:adjustRightInd w:val="0"/>
        <w:spacing w:line="360" w:lineRule="auto"/>
        <w:jc w:val="right"/>
        <w:rPr>
          <w:rFonts w:ascii="宋体" w:hAnsi="宋体"/>
          <w:bCs/>
          <w:sz w:val="24"/>
          <w:szCs w:val="28"/>
        </w:rPr>
        <w:sectPr>
          <w:pgSz w:w="11906" w:h="16838"/>
          <w:pgMar w:top="1440" w:right="1080" w:bottom="1440" w:left="1080" w:header="567" w:footer="567" w:gutter="0"/>
          <w:pgNumType w:fmt="decimal"/>
          <w:cols w:space="720" w:num="1"/>
          <w:titlePg/>
          <w:docGrid w:linePitch="312" w:charSpace="0"/>
        </w:sectPr>
      </w:pPr>
      <w:r>
        <w:rPr>
          <w:rFonts w:hint="eastAsia" w:ascii="宋体" w:hAnsi="宋体"/>
          <w:bCs/>
          <w:sz w:val="24"/>
          <w:szCs w:val="28"/>
        </w:rPr>
        <w:t>日期：    年   月   日</w:t>
      </w:r>
    </w:p>
    <w:p w14:paraId="14A1F994">
      <w:pPr>
        <w:pStyle w:val="4"/>
        <w:bidi w:val="0"/>
        <w:rPr>
          <w:rFonts w:hint="eastAsia" w:ascii="宋体" w:hAnsi="宋体" w:eastAsia="宋体" w:cs="宋体"/>
          <w:b/>
          <w:bCs/>
          <w:sz w:val="32"/>
          <w:szCs w:val="32"/>
        </w:rPr>
      </w:pPr>
      <w:bookmarkStart w:id="413" w:name="_Toc23328"/>
      <w:bookmarkStart w:id="414" w:name="_Toc30686"/>
      <w:r>
        <w:rPr>
          <w:rFonts w:hint="eastAsia" w:ascii="宋体" w:hAnsi="宋体" w:eastAsia="宋体" w:cs="宋体"/>
          <w:b/>
          <w:bCs/>
          <w:sz w:val="32"/>
          <w:szCs w:val="32"/>
          <w:lang w:val="zh-CN"/>
        </w:rPr>
        <w:t>格式1</w:t>
      </w:r>
      <w:r>
        <w:rPr>
          <w:rFonts w:hint="eastAsia" w:ascii="宋体" w:hAnsi="宋体" w:eastAsia="宋体" w:cs="宋体"/>
          <w:b/>
          <w:bCs/>
          <w:sz w:val="32"/>
          <w:szCs w:val="32"/>
          <w:lang w:val="en-US" w:eastAsia="zh-CN"/>
        </w:rPr>
        <w:t>3</w:t>
      </w:r>
      <w:r>
        <w:rPr>
          <w:rFonts w:hint="eastAsia" w:ascii="宋体" w:hAnsi="宋体" w:eastAsia="宋体" w:cs="宋体"/>
          <w:b/>
          <w:bCs/>
          <w:sz w:val="32"/>
          <w:szCs w:val="32"/>
          <w:lang w:val="zh-CN"/>
        </w:rPr>
        <w:t>、服务要求响应表</w:t>
      </w:r>
      <w:bookmarkEnd w:id="413"/>
      <w:bookmarkEnd w:id="414"/>
    </w:p>
    <w:p w14:paraId="70B341DF">
      <w:pPr>
        <w:autoSpaceDE w:val="0"/>
        <w:autoSpaceDN w:val="0"/>
        <w:spacing w:line="360" w:lineRule="auto"/>
        <w:jc w:val="center"/>
        <w:rPr>
          <w:rFonts w:ascii="宋体" w:hAnsi="宋体" w:cs="宋体"/>
          <w:b/>
          <w:bCs/>
          <w:kern w:val="0"/>
          <w:sz w:val="36"/>
          <w:szCs w:val="36"/>
          <w:lang w:val="zh-CN"/>
        </w:rPr>
      </w:pPr>
      <w:r>
        <w:rPr>
          <w:rFonts w:hint="eastAsia" w:ascii="宋体" w:hAnsi="宋体" w:cs="宋体"/>
          <w:b/>
          <w:bCs/>
          <w:kern w:val="0"/>
          <w:sz w:val="28"/>
          <w:szCs w:val="28"/>
          <w:lang w:val="zh-CN"/>
        </w:rPr>
        <w:t>服务要求响应表</w:t>
      </w:r>
    </w:p>
    <w:p w14:paraId="0EA45488">
      <w:pPr>
        <w:autoSpaceDE w:val="0"/>
        <w:autoSpaceDN w:val="0"/>
        <w:spacing w:line="360" w:lineRule="auto"/>
        <w:rPr>
          <w:rFonts w:ascii="宋体" w:hAnsi="宋体" w:cs="宋体"/>
          <w:b/>
          <w:bCs/>
          <w:kern w:val="0"/>
          <w:sz w:val="24"/>
        </w:rPr>
      </w:pPr>
      <w:r>
        <w:rPr>
          <w:rFonts w:hint="eastAsia" w:ascii="宋体" w:hAnsi="宋体" w:cs="宋体"/>
          <w:b/>
          <w:bCs/>
          <w:kern w:val="0"/>
          <w:sz w:val="24"/>
        </w:rPr>
        <w:t>供应商</w:t>
      </w:r>
      <w:r>
        <w:rPr>
          <w:rFonts w:hint="eastAsia" w:ascii="宋体" w:hAnsi="宋体" w:cs="宋体"/>
          <w:b/>
          <w:bCs/>
          <w:kern w:val="0"/>
          <w:sz w:val="24"/>
          <w:lang w:val="zh-CN"/>
        </w:rPr>
        <w:t>名称</w:t>
      </w:r>
      <w:r>
        <w:rPr>
          <w:rFonts w:hint="eastAsia" w:ascii="宋体" w:hAnsi="宋体" w:cs="宋体"/>
          <w:b/>
          <w:bCs/>
          <w:kern w:val="0"/>
          <w:sz w:val="24"/>
        </w:rPr>
        <w:t xml:space="preserve">：                                         </w:t>
      </w:r>
    </w:p>
    <w:tbl>
      <w:tblPr>
        <w:tblStyle w:val="33"/>
        <w:tblW w:w="0" w:type="auto"/>
        <w:jc w:val="center"/>
        <w:tblLayout w:type="fixed"/>
        <w:tblCellMar>
          <w:top w:w="0" w:type="dxa"/>
          <w:left w:w="28" w:type="dxa"/>
          <w:bottom w:w="0" w:type="dxa"/>
          <w:right w:w="28" w:type="dxa"/>
        </w:tblCellMar>
      </w:tblPr>
      <w:tblGrid>
        <w:gridCol w:w="669"/>
        <w:gridCol w:w="3931"/>
        <w:gridCol w:w="3697"/>
        <w:gridCol w:w="1081"/>
      </w:tblGrid>
      <w:tr w14:paraId="3021BC97">
        <w:tblPrEx>
          <w:tblCellMar>
            <w:top w:w="0" w:type="dxa"/>
            <w:left w:w="28" w:type="dxa"/>
            <w:bottom w:w="0" w:type="dxa"/>
            <w:right w:w="28" w:type="dxa"/>
          </w:tblCellMar>
        </w:tblPrEx>
        <w:trPr>
          <w:trHeight w:val="506" w:hRule="atLeast"/>
          <w:jc w:val="center"/>
        </w:trPr>
        <w:tc>
          <w:tcPr>
            <w:tcW w:w="669" w:type="dxa"/>
            <w:tcBorders>
              <w:top w:val="single" w:color="000000" w:sz="6" w:space="0"/>
              <w:left w:val="single" w:color="000000" w:sz="6" w:space="0"/>
              <w:bottom w:val="single" w:color="000000" w:sz="6" w:space="0"/>
              <w:right w:val="single" w:color="000000" w:sz="6" w:space="0"/>
            </w:tcBorders>
            <w:noWrap/>
            <w:vAlign w:val="center"/>
          </w:tcPr>
          <w:p w14:paraId="40695A8D">
            <w:pPr>
              <w:adjustRightInd w:val="0"/>
              <w:jc w:val="center"/>
              <w:rPr>
                <w:rFonts w:ascii="宋体" w:hAnsi="宋体"/>
                <w:bCs/>
                <w:color w:val="000000"/>
                <w:sz w:val="24"/>
                <w:lang w:val="zh-CN"/>
              </w:rPr>
            </w:pPr>
            <w:r>
              <w:rPr>
                <w:rFonts w:hint="eastAsia" w:ascii="宋体" w:hAnsi="宋体"/>
                <w:bCs/>
                <w:color w:val="000000"/>
                <w:sz w:val="24"/>
                <w:lang w:val="zh-CN"/>
              </w:rPr>
              <w:t>序号</w:t>
            </w:r>
          </w:p>
        </w:tc>
        <w:tc>
          <w:tcPr>
            <w:tcW w:w="3931" w:type="dxa"/>
            <w:tcBorders>
              <w:top w:val="single" w:color="000000" w:sz="6" w:space="0"/>
              <w:left w:val="single" w:color="000000" w:sz="6" w:space="0"/>
              <w:bottom w:val="single" w:color="000000" w:sz="6" w:space="0"/>
              <w:right w:val="single" w:color="000000" w:sz="6" w:space="0"/>
            </w:tcBorders>
            <w:noWrap/>
            <w:vAlign w:val="center"/>
          </w:tcPr>
          <w:p w14:paraId="726DD10A">
            <w:pPr>
              <w:adjustRightInd w:val="0"/>
              <w:jc w:val="center"/>
              <w:rPr>
                <w:rFonts w:ascii="宋体" w:hAnsi="宋体"/>
                <w:bCs/>
                <w:color w:val="000000"/>
                <w:sz w:val="24"/>
                <w:lang w:val="zh-CN"/>
              </w:rPr>
            </w:pPr>
            <w:r>
              <w:rPr>
                <w:rFonts w:hint="eastAsia" w:ascii="宋体" w:hAnsi="宋体"/>
                <w:bCs/>
                <w:color w:val="000000"/>
                <w:sz w:val="24"/>
                <w:lang w:val="zh-CN"/>
              </w:rPr>
              <w:t>磋商文件要求的服务要求及内容</w:t>
            </w:r>
          </w:p>
        </w:tc>
        <w:tc>
          <w:tcPr>
            <w:tcW w:w="3697" w:type="dxa"/>
            <w:tcBorders>
              <w:top w:val="single" w:color="000000" w:sz="6" w:space="0"/>
              <w:left w:val="single" w:color="000000" w:sz="6" w:space="0"/>
              <w:bottom w:val="single" w:color="000000" w:sz="6" w:space="0"/>
              <w:right w:val="single" w:color="000000" w:sz="6" w:space="0"/>
            </w:tcBorders>
            <w:noWrap/>
            <w:vAlign w:val="center"/>
          </w:tcPr>
          <w:p w14:paraId="4AAB396F">
            <w:pPr>
              <w:adjustRightInd w:val="0"/>
              <w:jc w:val="center"/>
              <w:rPr>
                <w:rFonts w:ascii="宋体" w:hAnsi="宋体"/>
                <w:bCs/>
                <w:color w:val="000000"/>
                <w:sz w:val="24"/>
                <w:lang w:val="zh-CN"/>
              </w:rPr>
            </w:pPr>
            <w:r>
              <w:rPr>
                <w:rFonts w:hint="eastAsia" w:ascii="宋体" w:hAnsi="宋体"/>
                <w:bCs/>
                <w:color w:val="000000"/>
                <w:sz w:val="24"/>
                <w:lang w:val="zh-CN"/>
              </w:rPr>
              <w:t>响应文件响应的服务要求及内容</w:t>
            </w:r>
          </w:p>
        </w:tc>
        <w:tc>
          <w:tcPr>
            <w:tcW w:w="1081" w:type="dxa"/>
            <w:tcBorders>
              <w:top w:val="single" w:color="000000" w:sz="6" w:space="0"/>
              <w:left w:val="single" w:color="000000" w:sz="6" w:space="0"/>
              <w:bottom w:val="single" w:color="000000" w:sz="6" w:space="0"/>
              <w:right w:val="single" w:color="000000" w:sz="6" w:space="0"/>
            </w:tcBorders>
            <w:noWrap/>
            <w:vAlign w:val="center"/>
          </w:tcPr>
          <w:p w14:paraId="560A0975">
            <w:pPr>
              <w:adjustRightInd w:val="0"/>
              <w:jc w:val="center"/>
              <w:rPr>
                <w:rFonts w:ascii="宋体" w:hAnsi="宋体"/>
                <w:bCs/>
                <w:color w:val="000000"/>
                <w:sz w:val="24"/>
                <w:lang w:val="zh-CN"/>
              </w:rPr>
            </w:pPr>
            <w:r>
              <w:rPr>
                <w:rFonts w:hint="eastAsia" w:ascii="宋体" w:hAnsi="宋体"/>
                <w:bCs/>
                <w:color w:val="000000"/>
                <w:sz w:val="24"/>
                <w:lang w:val="zh-CN"/>
              </w:rPr>
              <w:t>偏离</w:t>
            </w:r>
          </w:p>
        </w:tc>
      </w:tr>
      <w:tr w14:paraId="3AACFF2E">
        <w:tblPrEx>
          <w:tblCellMar>
            <w:top w:w="0" w:type="dxa"/>
            <w:left w:w="28" w:type="dxa"/>
            <w:bottom w:w="0" w:type="dxa"/>
            <w:right w:w="28" w:type="dxa"/>
          </w:tblCellMar>
        </w:tblPrEx>
        <w:trPr>
          <w:trHeight w:val="506" w:hRule="atLeast"/>
          <w:jc w:val="center"/>
        </w:trPr>
        <w:tc>
          <w:tcPr>
            <w:tcW w:w="669" w:type="dxa"/>
            <w:tcBorders>
              <w:top w:val="single" w:color="000000" w:sz="6" w:space="0"/>
              <w:left w:val="single" w:color="000000" w:sz="6" w:space="0"/>
              <w:bottom w:val="single" w:color="000000" w:sz="6" w:space="0"/>
              <w:right w:val="single" w:color="000000" w:sz="6" w:space="0"/>
            </w:tcBorders>
            <w:noWrap/>
            <w:vAlign w:val="center"/>
          </w:tcPr>
          <w:p w14:paraId="02CCEE58">
            <w:pPr>
              <w:adjustRightInd w:val="0"/>
              <w:jc w:val="center"/>
              <w:rPr>
                <w:rFonts w:ascii="宋体" w:hAnsi="宋体"/>
                <w:bCs/>
                <w:color w:val="000000"/>
                <w:sz w:val="24"/>
                <w:lang w:val="zh-CN"/>
              </w:rPr>
            </w:pPr>
            <w:r>
              <w:rPr>
                <w:rFonts w:hint="eastAsia" w:ascii="宋体" w:hAnsi="宋体"/>
                <w:bCs/>
                <w:color w:val="000000"/>
                <w:sz w:val="24"/>
              </w:rPr>
              <w:t>1</w:t>
            </w:r>
          </w:p>
        </w:tc>
        <w:tc>
          <w:tcPr>
            <w:tcW w:w="3931" w:type="dxa"/>
            <w:tcBorders>
              <w:top w:val="single" w:color="000000" w:sz="6" w:space="0"/>
              <w:left w:val="single" w:color="000000" w:sz="6" w:space="0"/>
              <w:bottom w:val="single" w:color="000000" w:sz="6" w:space="0"/>
              <w:right w:val="single" w:color="000000" w:sz="6" w:space="0"/>
            </w:tcBorders>
            <w:noWrap/>
            <w:vAlign w:val="center"/>
          </w:tcPr>
          <w:p w14:paraId="693F95F5">
            <w:pPr>
              <w:adjustRightInd w:val="0"/>
              <w:ind w:firstLine="420" w:firstLineChars="175"/>
              <w:jc w:val="center"/>
              <w:rPr>
                <w:rFonts w:ascii="宋体" w:hAnsi="宋体"/>
                <w:bCs/>
                <w:color w:val="000000"/>
                <w:sz w:val="24"/>
                <w:lang w:val="zh-CN"/>
              </w:rPr>
            </w:pPr>
          </w:p>
        </w:tc>
        <w:tc>
          <w:tcPr>
            <w:tcW w:w="3697" w:type="dxa"/>
            <w:tcBorders>
              <w:top w:val="single" w:color="000000" w:sz="6" w:space="0"/>
              <w:left w:val="single" w:color="000000" w:sz="6" w:space="0"/>
              <w:bottom w:val="single" w:color="000000" w:sz="6" w:space="0"/>
              <w:right w:val="single" w:color="000000" w:sz="6" w:space="0"/>
            </w:tcBorders>
            <w:noWrap/>
            <w:vAlign w:val="center"/>
          </w:tcPr>
          <w:p w14:paraId="2A854120">
            <w:pPr>
              <w:adjustRightInd w:val="0"/>
              <w:ind w:firstLine="420" w:firstLineChars="175"/>
              <w:jc w:val="center"/>
              <w:rPr>
                <w:rFonts w:ascii="宋体" w:hAnsi="宋体"/>
                <w:bCs/>
                <w:color w:val="000000"/>
                <w:sz w:val="24"/>
                <w:lang w:val="zh-CN"/>
              </w:rPr>
            </w:pPr>
          </w:p>
        </w:tc>
        <w:tc>
          <w:tcPr>
            <w:tcW w:w="1081" w:type="dxa"/>
            <w:tcBorders>
              <w:top w:val="single" w:color="000000" w:sz="6" w:space="0"/>
              <w:left w:val="single" w:color="000000" w:sz="6" w:space="0"/>
              <w:bottom w:val="single" w:color="000000" w:sz="6" w:space="0"/>
              <w:right w:val="single" w:color="000000" w:sz="6" w:space="0"/>
            </w:tcBorders>
            <w:noWrap/>
            <w:vAlign w:val="center"/>
          </w:tcPr>
          <w:p w14:paraId="227C1FF3">
            <w:pPr>
              <w:adjustRightInd w:val="0"/>
              <w:ind w:firstLine="420" w:firstLineChars="175"/>
              <w:jc w:val="center"/>
              <w:rPr>
                <w:rFonts w:ascii="宋体" w:hAnsi="宋体"/>
                <w:bCs/>
                <w:color w:val="000000"/>
                <w:sz w:val="24"/>
                <w:lang w:val="zh-CN"/>
              </w:rPr>
            </w:pPr>
          </w:p>
        </w:tc>
      </w:tr>
      <w:tr w14:paraId="70E3DD0A">
        <w:tblPrEx>
          <w:tblCellMar>
            <w:top w:w="0" w:type="dxa"/>
            <w:left w:w="28" w:type="dxa"/>
            <w:bottom w:w="0" w:type="dxa"/>
            <w:right w:w="28" w:type="dxa"/>
          </w:tblCellMar>
        </w:tblPrEx>
        <w:trPr>
          <w:trHeight w:val="506" w:hRule="atLeast"/>
          <w:jc w:val="center"/>
        </w:trPr>
        <w:tc>
          <w:tcPr>
            <w:tcW w:w="669" w:type="dxa"/>
            <w:tcBorders>
              <w:top w:val="single" w:color="000000" w:sz="6" w:space="0"/>
              <w:left w:val="single" w:color="000000" w:sz="6" w:space="0"/>
              <w:bottom w:val="single" w:color="000000" w:sz="6" w:space="0"/>
              <w:right w:val="single" w:color="000000" w:sz="6" w:space="0"/>
            </w:tcBorders>
            <w:noWrap/>
            <w:vAlign w:val="center"/>
          </w:tcPr>
          <w:p w14:paraId="4C7CE27E">
            <w:pPr>
              <w:adjustRightInd w:val="0"/>
              <w:jc w:val="center"/>
              <w:rPr>
                <w:rFonts w:ascii="宋体" w:hAnsi="宋体"/>
                <w:bCs/>
                <w:color w:val="000000"/>
                <w:sz w:val="24"/>
                <w:lang w:val="zh-CN"/>
              </w:rPr>
            </w:pPr>
            <w:r>
              <w:rPr>
                <w:rFonts w:hint="eastAsia" w:ascii="宋体" w:hAnsi="宋体"/>
                <w:bCs/>
                <w:color w:val="000000"/>
                <w:sz w:val="24"/>
              </w:rPr>
              <w:t>2</w:t>
            </w:r>
          </w:p>
        </w:tc>
        <w:tc>
          <w:tcPr>
            <w:tcW w:w="3931" w:type="dxa"/>
            <w:tcBorders>
              <w:top w:val="single" w:color="000000" w:sz="6" w:space="0"/>
              <w:left w:val="single" w:color="000000" w:sz="6" w:space="0"/>
              <w:bottom w:val="single" w:color="000000" w:sz="6" w:space="0"/>
              <w:right w:val="single" w:color="000000" w:sz="6" w:space="0"/>
            </w:tcBorders>
            <w:noWrap/>
            <w:vAlign w:val="center"/>
          </w:tcPr>
          <w:p w14:paraId="2DB84847">
            <w:pPr>
              <w:adjustRightInd w:val="0"/>
              <w:ind w:firstLine="420" w:firstLineChars="175"/>
              <w:jc w:val="center"/>
              <w:rPr>
                <w:rFonts w:ascii="宋体" w:hAnsi="宋体"/>
                <w:bCs/>
                <w:color w:val="000000"/>
                <w:sz w:val="24"/>
                <w:lang w:val="zh-CN"/>
              </w:rPr>
            </w:pPr>
          </w:p>
        </w:tc>
        <w:tc>
          <w:tcPr>
            <w:tcW w:w="3697" w:type="dxa"/>
            <w:tcBorders>
              <w:top w:val="single" w:color="000000" w:sz="6" w:space="0"/>
              <w:left w:val="single" w:color="000000" w:sz="6" w:space="0"/>
              <w:bottom w:val="single" w:color="000000" w:sz="6" w:space="0"/>
              <w:right w:val="single" w:color="000000" w:sz="6" w:space="0"/>
            </w:tcBorders>
            <w:noWrap/>
            <w:vAlign w:val="center"/>
          </w:tcPr>
          <w:p w14:paraId="7C191E50">
            <w:pPr>
              <w:adjustRightInd w:val="0"/>
              <w:ind w:firstLine="420" w:firstLineChars="175"/>
              <w:jc w:val="center"/>
              <w:rPr>
                <w:rFonts w:ascii="宋体" w:hAnsi="宋体"/>
                <w:bCs/>
                <w:color w:val="000000"/>
                <w:sz w:val="24"/>
                <w:lang w:val="zh-CN"/>
              </w:rPr>
            </w:pPr>
          </w:p>
        </w:tc>
        <w:tc>
          <w:tcPr>
            <w:tcW w:w="1081" w:type="dxa"/>
            <w:tcBorders>
              <w:top w:val="single" w:color="000000" w:sz="6" w:space="0"/>
              <w:left w:val="single" w:color="000000" w:sz="6" w:space="0"/>
              <w:bottom w:val="single" w:color="000000" w:sz="6" w:space="0"/>
              <w:right w:val="single" w:color="000000" w:sz="6" w:space="0"/>
            </w:tcBorders>
            <w:noWrap/>
            <w:vAlign w:val="center"/>
          </w:tcPr>
          <w:p w14:paraId="7261F1CC">
            <w:pPr>
              <w:adjustRightInd w:val="0"/>
              <w:ind w:firstLine="420" w:firstLineChars="175"/>
              <w:jc w:val="center"/>
              <w:rPr>
                <w:rFonts w:ascii="宋体" w:hAnsi="宋体"/>
                <w:bCs/>
                <w:color w:val="000000"/>
                <w:sz w:val="24"/>
                <w:lang w:val="zh-CN"/>
              </w:rPr>
            </w:pPr>
          </w:p>
        </w:tc>
      </w:tr>
      <w:tr w14:paraId="59188340">
        <w:tblPrEx>
          <w:tblCellMar>
            <w:top w:w="0" w:type="dxa"/>
            <w:left w:w="28" w:type="dxa"/>
            <w:bottom w:w="0" w:type="dxa"/>
            <w:right w:w="28" w:type="dxa"/>
          </w:tblCellMar>
        </w:tblPrEx>
        <w:trPr>
          <w:trHeight w:val="506" w:hRule="atLeast"/>
          <w:jc w:val="center"/>
        </w:trPr>
        <w:tc>
          <w:tcPr>
            <w:tcW w:w="669" w:type="dxa"/>
            <w:tcBorders>
              <w:top w:val="single" w:color="000000" w:sz="6" w:space="0"/>
              <w:left w:val="single" w:color="000000" w:sz="6" w:space="0"/>
              <w:bottom w:val="single" w:color="000000" w:sz="6" w:space="0"/>
              <w:right w:val="single" w:color="000000" w:sz="6" w:space="0"/>
            </w:tcBorders>
            <w:noWrap/>
            <w:vAlign w:val="center"/>
          </w:tcPr>
          <w:p w14:paraId="790A60D7">
            <w:pPr>
              <w:adjustRightInd w:val="0"/>
              <w:jc w:val="center"/>
              <w:rPr>
                <w:rFonts w:ascii="宋体" w:hAnsi="宋体"/>
                <w:bCs/>
                <w:color w:val="000000"/>
                <w:sz w:val="24"/>
                <w:lang w:val="zh-CN"/>
              </w:rPr>
            </w:pPr>
            <w:r>
              <w:rPr>
                <w:rFonts w:hint="eastAsia" w:ascii="宋体" w:hAnsi="宋体"/>
                <w:bCs/>
                <w:color w:val="000000"/>
                <w:sz w:val="24"/>
              </w:rPr>
              <w:t>3</w:t>
            </w:r>
          </w:p>
        </w:tc>
        <w:tc>
          <w:tcPr>
            <w:tcW w:w="3931" w:type="dxa"/>
            <w:tcBorders>
              <w:top w:val="single" w:color="000000" w:sz="6" w:space="0"/>
              <w:left w:val="single" w:color="000000" w:sz="6" w:space="0"/>
              <w:bottom w:val="single" w:color="000000" w:sz="6" w:space="0"/>
              <w:right w:val="single" w:color="000000" w:sz="6" w:space="0"/>
            </w:tcBorders>
            <w:noWrap/>
            <w:vAlign w:val="center"/>
          </w:tcPr>
          <w:p w14:paraId="15987F3D">
            <w:pPr>
              <w:adjustRightInd w:val="0"/>
              <w:ind w:firstLine="420" w:firstLineChars="175"/>
              <w:jc w:val="center"/>
              <w:rPr>
                <w:rFonts w:ascii="宋体" w:hAnsi="宋体"/>
                <w:bCs/>
                <w:color w:val="000000"/>
                <w:sz w:val="24"/>
                <w:lang w:val="zh-CN"/>
              </w:rPr>
            </w:pPr>
          </w:p>
        </w:tc>
        <w:tc>
          <w:tcPr>
            <w:tcW w:w="3697" w:type="dxa"/>
            <w:tcBorders>
              <w:top w:val="single" w:color="000000" w:sz="6" w:space="0"/>
              <w:left w:val="single" w:color="000000" w:sz="6" w:space="0"/>
              <w:bottom w:val="single" w:color="000000" w:sz="6" w:space="0"/>
              <w:right w:val="single" w:color="000000" w:sz="6" w:space="0"/>
            </w:tcBorders>
            <w:noWrap/>
            <w:vAlign w:val="center"/>
          </w:tcPr>
          <w:p w14:paraId="0AB3AD4F">
            <w:pPr>
              <w:adjustRightInd w:val="0"/>
              <w:ind w:firstLine="420" w:firstLineChars="175"/>
              <w:jc w:val="center"/>
              <w:rPr>
                <w:rFonts w:ascii="宋体" w:hAnsi="宋体"/>
                <w:bCs/>
                <w:color w:val="000000"/>
                <w:sz w:val="24"/>
                <w:lang w:val="zh-CN"/>
              </w:rPr>
            </w:pPr>
          </w:p>
        </w:tc>
        <w:tc>
          <w:tcPr>
            <w:tcW w:w="1081" w:type="dxa"/>
            <w:tcBorders>
              <w:top w:val="single" w:color="000000" w:sz="6" w:space="0"/>
              <w:left w:val="single" w:color="000000" w:sz="6" w:space="0"/>
              <w:bottom w:val="single" w:color="000000" w:sz="6" w:space="0"/>
              <w:right w:val="single" w:color="000000" w:sz="6" w:space="0"/>
            </w:tcBorders>
            <w:noWrap/>
            <w:vAlign w:val="center"/>
          </w:tcPr>
          <w:p w14:paraId="0EF6E256">
            <w:pPr>
              <w:adjustRightInd w:val="0"/>
              <w:ind w:firstLine="420" w:firstLineChars="175"/>
              <w:jc w:val="center"/>
              <w:rPr>
                <w:rFonts w:ascii="宋体" w:hAnsi="宋体"/>
                <w:bCs/>
                <w:color w:val="000000"/>
                <w:sz w:val="24"/>
                <w:lang w:val="zh-CN"/>
              </w:rPr>
            </w:pPr>
          </w:p>
        </w:tc>
      </w:tr>
      <w:tr w14:paraId="5D93C4E7">
        <w:tblPrEx>
          <w:tblCellMar>
            <w:top w:w="0" w:type="dxa"/>
            <w:left w:w="28" w:type="dxa"/>
            <w:bottom w:w="0" w:type="dxa"/>
            <w:right w:w="28" w:type="dxa"/>
          </w:tblCellMar>
        </w:tblPrEx>
        <w:trPr>
          <w:trHeight w:val="550" w:hRule="atLeast"/>
          <w:jc w:val="center"/>
        </w:trPr>
        <w:tc>
          <w:tcPr>
            <w:tcW w:w="669" w:type="dxa"/>
            <w:tcBorders>
              <w:top w:val="single" w:color="000000" w:sz="6" w:space="0"/>
              <w:left w:val="single" w:color="000000" w:sz="6" w:space="0"/>
              <w:bottom w:val="single" w:color="000000" w:sz="6" w:space="0"/>
              <w:right w:val="single" w:color="000000" w:sz="6" w:space="0"/>
            </w:tcBorders>
            <w:noWrap/>
            <w:vAlign w:val="center"/>
          </w:tcPr>
          <w:p w14:paraId="5FC4340A">
            <w:pPr>
              <w:adjustRightInd w:val="0"/>
              <w:jc w:val="center"/>
              <w:rPr>
                <w:rFonts w:ascii="宋体" w:hAnsi="宋体"/>
                <w:bCs/>
                <w:color w:val="000000"/>
                <w:sz w:val="24"/>
                <w:lang w:val="zh-CN"/>
              </w:rPr>
            </w:pPr>
            <w:r>
              <w:rPr>
                <w:rFonts w:hint="eastAsia" w:ascii="宋体" w:hAnsi="宋体"/>
                <w:bCs/>
                <w:color w:val="000000"/>
                <w:sz w:val="24"/>
                <w:lang w:val="zh-CN"/>
              </w:rPr>
              <w:t>…</w:t>
            </w:r>
          </w:p>
        </w:tc>
        <w:tc>
          <w:tcPr>
            <w:tcW w:w="3931" w:type="dxa"/>
            <w:tcBorders>
              <w:top w:val="single" w:color="000000" w:sz="6" w:space="0"/>
              <w:left w:val="single" w:color="000000" w:sz="6" w:space="0"/>
              <w:bottom w:val="single" w:color="000000" w:sz="6" w:space="0"/>
              <w:right w:val="single" w:color="000000" w:sz="6" w:space="0"/>
            </w:tcBorders>
            <w:noWrap/>
            <w:vAlign w:val="center"/>
          </w:tcPr>
          <w:p w14:paraId="4478E433">
            <w:pPr>
              <w:adjustRightInd w:val="0"/>
              <w:ind w:firstLine="420" w:firstLineChars="175"/>
              <w:jc w:val="center"/>
              <w:rPr>
                <w:rFonts w:ascii="宋体" w:hAnsi="宋体"/>
                <w:bCs/>
                <w:color w:val="000000"/>
                <w:sz w:val="24"/>
                <w:lang w:val="zh-CN"/>
              </w:rPr>
            </w:pPr>
          </w:p>
        </w:tc>
        <w:tc>
          <w:tcPr>
            <w:tcW w:w="3697" w:type="dxa"/>
            <w:tcBorders>
              <w:top w:val="single" w:color="000000" w:sz="6" w:space="0"/>
              <w:left w:val="single" w:color="000000" w:sz="6" w:space="0"/>
              <w:bottom w:val="single" w:color="000000" w:sz="6" w:space="0"/>
              <w:right w:val="single" w:color="000000" w:sz="6" w:space="0"/>
            </w:tcBorders>
            <w:noWrap/>
            <w:vAlign w:val="center"/>
          </w:tcPr>
          <w:p w14:paraId="0A0E1F37">
            <w:pPr>
              <w:adjustRightInd w:val="0"/>
              <w:ind w:firstLine="420" w:firstLineChars="175"/>
              <w:jc w:val="center"/>
              <w:rPr>
                <w:rFonts w:ascii="宋体" w:hAnsi="宋体"/>
                <w:bCs/>
                <w:color w:val="000000"/>
                <w:sz w:val="24"/>
                <w:lang w:val="zh-CN"/>
              </w:rPr>
            </w:pPr>
          </w:p>
        </w:tc>
        <w:tc>
          <w:tcPr>
            <w:tcW w:w="1081" w:type="dxa"/>
            <w:tcBorders>
              <w:top w:val="single" w:color="000000" w:sz="6" w:space="0"/>
              <w:left w:val="single" w:color="000000" w:sz="6" w:space="0"/>
              <w:bottom w:val="single" w:color="000000" w:sz="6" w:space="0"/>
              <w:right w:val="single" w:color="000000" w:sz="6" w:space="0"/>
            </w:tcBorders>
            <w:noWrap/>
            <w:vAlign w:val="center"/>
          </w:tcPr>
          <w:p w14:paraId="49AF14AE">
            <w:pPr>
              <w:adjustRightInd w:val="0"/>
              <w:ind w:firstLine="420" w:firstLineChars="175"/>
              <w:jc w:val="center"/>
              <w:rPr>
                <w:rFonts w:ascii="宋体" w:hAnsi="宋体"/>
                <w:bCs/>
                <w:color w:val="000000"/>
                <w:sz w:val="24"/>
                <w:lang w:val="zh-CN"/>
              </w:rPr>
            </w:pPr>
          </w:p>
        </w:tc>
      </w:tr>
    </w:tbl>
    <w:p w14:paraId="240B9AF6">
      <w:pPr>
        <w:autoSpaceDE w:val="0"/>
        <w:autoSpaceDN w:val="0"/>
        <w:spacing w:line="360" w:lineRule="auto"/>
        <w:ind w:firstLine="480"/>
        <w:rPr>
          <w:rFonts w:hint="eastAsia" w:ascii="宋体" w:hAnsi="宋体" w:eastAsia="宋体" w:cs="宋体"/>
          <w:color w:val="000000"/>
          <w:kern w:val="0"/>
          <w:lang w:val="zh-CN"/>
        </w:rPr>
      </w:pPr>
    </w:p>
    <w:p w14:paraId="66324660">
      <w:pPr>
        <w:autoSpaceDE w:val="0"/>
        <w:autoSpaceDN w:val="0"/>
        <w:spacing w:line="360" w:lineRule="auto"/>
        <w:ind w:firstLine="480"/>
        <w:rPr>
          <w:rFonts w:ascii="宋体" w:hAnsi="宋体" w:cs="宋体"/>
          <w:color w:val="000000"/>
          <w:kern w:val="0"/>
          <w:lang w:val="zh-CN"/>
        </w:rPr>
      </w:pPr>
      <w:r>
        <w:rPr>
          <w:rFonts w:hint="eastAsia" w:ascii="宋体" w:hAnsi="宋体" w:eastAsia="宋体" w:cs="宋体"/>
          <w:color w:val="000000"/>
          <w:kern w:val="0"/>
          <w:lang w:val="zh-CN"/>
        </w:rPr>
        <w:t>注：1.本表应按照“采购项目要求及内容”中产品序号的指标逐项</w:t>
      </w:r>
      <w:r>
        <w:rPr>
          <w:rFonts w:hint="eastAsia" w:ascii="宋体" w:hAnsi="宋体" w:cs="宋体"/>
          <w:color w:val="000000"/>
          <w:kern w:val="0"/>
          <w:lang w:val="zh-CN"/>
        </w:rPr>
        <w:t>填写，不得遗漏，</w:t>
      </w:r>
      <w:r>
        <w:rPr>
          <w:rFonts w:hint="eastAsia" w:ascii="宋体" w:hAnsi="宋体"/>
          <w:color w:val="000000"/>
        </w:rPr>
        <w:t>否则</w:t>
      </w:r>
      <w:r>
        <w:rPr>
          <w:rFonts w:hint="eastAsia" w:ascii="宋体" w:hAnsi="宋体"/>
          <w:color w:val="000000"/>
          <w:kern w:val="0"/>
          <w:szCs w:val="20"/>
        </w:rPr>
        <w:t>，按无效投标处理</w:t>
      </w:r>
      <w:r>
        <w:rPr>
          <w:rFonts w:hint="eastAsia" w:ascii="宋体" w:hAnsi="宋体"/>
          <w:color w:val="000000"/>
        </w:rPr>
        <w:t>。</w:t>
      </w:r>
    </w:p>
    <w:p w14:paraId="6BCCD5D8">
      <w:pPr>
        <w:numPr>
          <w:ilvl w:val="0"/>
          <w:numId w:val="12"/>
        </w:num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填写此表时以磋商项目要求为基本投标要求，满足磋商项目参数要求的指标需列出“</w:t>
      </w:r>
      <w:r>
        <w:rPr>
          <w:rFonts w:hint="eastAsia" w:ascii="宋体" w:hAnsi="宋体" w:cs="宋体"/>
          <w:color w:val="000000"/>
          <w:kern w:val="0"/>
        </w:rPr>
        <w:t>0</w:t>
      </w:r>
      <w:r>
        <w:rPr>
          <w:rFonts w:hint="eastAsia" w:ascii="宋体" w:hAnsi="宋体" w:cs="宋体"/>
          <w:color w:val="000000"/>
          <w:kern w:val="0"/>
          <w:lang w:val="zh-CN"/>
        </w:rPr>
        <w:t>”；超出、不满足磋商项目参数要求的指标需列出“+”、“-”偏差，并做出详细说明；如果只注明“+”、“-”或未填写，将视为该项指标不响应。</w:t>
      </w:r>
    </w:p>
    <w:p w14:paraId="6016936E">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w:t>
      </w:r>
      <w:r>
        <w:rPr>
          <w:rFonts w:hint="eastAsia" w:ascii="宋体" w:hAnsi="宋体" w:cs="宋体"/>
          <w:color w:val="000000"/>
          <w:kern w:val="0"/>
        </w:rPr>
        <w:t>供应商</w:t>
      </w:r>
      <w:r>
        <w:rPr>
          <w:rFonts w:hint="eastAsia" w:ascii="宋体" w:hAnsi="宋体" w:cs="宋体"/>
          <w:color w:val="000000"/>
          <w:kern w:val="0"/>
          <w:lang w:val="zh-CN"/>
        </w:rPr>
        <w:t>响应采购需求应具体、明确，含糊不清、不确切或伪造、编造证明材料的，按照实质性不响应处理。</w:t>
      </w:r>
    </w:p>
    <w:p w14:paraId="14EABDAA">
      <w:pPr>
        <w:autoSpaceDE w:val="0"/>
        <w:autoSpaceDN w:val="0"/>
        <w:adjustRightInd w:val="0"/>
        <w:ind w:firstLine="482"/>
        <w:rPr>
          <w:rFonts w:ascii="宋体" w:hAnsi="Cambria" w:cs="宋体"/>
          <w:b/>
          <w:bCs/>
          <w:sz w:val="24"/>
          <w:lang w:val="zh-CN"/>
        </w:rPr>
      </w:pPr>
    </w:p>
    <w:p w14:paraId="3E3D16AF">
      <w:pPr>
        <w:tabs>
          <w:tab w:val="left" w:pos="168"/>
        </w:tabs>
        <w:adjustRightInd w:val="0"/>
        <w:spacing w:line="360" w:lineRule="auto"/>
        <w:jc w:val="right"/>
        <w:textAlignment w:val="baseline"/>
        <w:rPr>
          <w:rFonts w:ascii="宋体" w:hAnsi="宋体"/>
          <w:bCs/>
          <w:sz w:val="24"/>
          <w:szCs w:val="28"/>
        </w:rPr>
      </w:pPr>
    </w:p>
    <w:p w14:paraId="335F918C">
      <w:pPr>
        <w:tabs>
          <w:tab w:val="left" w:pos="168"/>
        </w:tabs>
        <w:adjustRightInd w:val="0"/>
        <w:spacing w:line="360" w:lineRule="auto"/>
        <w:jc w:val="right"/>
        <w:textAlignment w:val="baseline"/>
        <w:rPr>
          <w:rFonts w:ascii="宋体" w:hAnsi="宋体"/>
          <w:bCs/>
          <w:sz w:val="24"/>
          <w:szCs w:val="28"/>
          <w:lang w:val="zh-CN"/>
        </w:rPr>
      </w:pPr>
      <w:r>
        <w:rPr>
          <w:rFonts w:hint="eastAsia" w:ascii="宋体" w:hAnsi="宋体"/>
          <w:bCs/>
          <w:sz w:val="24"/>
          <w:szCs w:val="28"/>
        </w:rPr>
        <w:t>供应商名称</w:t>
      </w:r>
      <w:r>
        <w:rPr>
          <w:rFonts w:hint="eastAsia" w:ascii="宋体" w:hAnsi="宋体"/>
          <w:bCs/>
          <w:sz w:val="24"/>
          <w:szCs w:val="28"/>
          <w:lang w:val="zh-CN"/>
        </w:rPr>
        <w:t>：             （公章）</w:t>
      </w:r>
    </w:p>
    <w:p w14:paraId="37FC5E86">
      <w:pPr>
        <w:tabs>
          <w:tab w:val="left" w:pos="168"/>
        </w:tabs>
        <w:adjustRightInd w:val="0"/>
        <w:spacing w:line="360" w:lineRule="auto"/>
        <w:jc w:val="right"/>
        <w:textAlignment w:val="baseline"/>
        <w:rPr>
          <w:rFonts w:ascii="宋体" w:hAnsi="宋体"/>
          <w:bCs/>
          <w:sz w:val="24"/>
          <w:szCs w:val="28"/>
          <w:lang w:val="zh-CN"/>
        </w:rPr>
      </w:pPr>
      <w:r>
        <w:rPr>
          <w:rFonts w:hint="eastAsia" w:ascii="宋体" w:hAnsi="宋体"/>
          <w:bCs/>
          <w:sz w:val="24"/>
          <w:szCs w:val="28"/>
          <w:lang w:val="zh-CN"/>
        </w:rPr>
        <w:t xml:space="preserve">                     法定代表人或委托代理人：             （签字）</w:t>
      </w:r>
    </w:p>
    <w:p w14:paraId="1CD81741">
      <w:pPr>
        <w:tabs>
          <w:tab w:val="left" w:pos="168"/>
        </w:tabs>
        <w:adjustRightInd w:val="0"/>
        <w:spacing w:line="360" w:lineRule="auto"/>
        <w:jc w:val="right"/>
        <w:textAlignment w:val="baseline"/>
        <w:rPr>
          <w:rFonts w:ascii="宋体" w:hAnsi="宋体"/>
          <w:bCs/>
          <w:sz w:val="24"/>
          <w:szCs w:val="28"/>
        </w:rPr>
      </w:pPr>
      <w:r>
        <w:rPr>
          <w:rFonts w:hint="eastAsia" w:ascii="宋体" w:hAnsi="宋体"/>
          <w:bCs/>
          <w:sz w:val="24"/>
          <w:szCs w:val="28"/>
          <w:lang w:val="en-US" w:eastAsia="zh-CN"/>
        </w:rPr>
        <w:t xml:space="preserve"> </w:t>
      </w:r>
      <w:r>
        <w:rPr>
          <w:rFonts w:hint="eastAsia" w:ascii="宋体" w:hAnsi="宋体"/>
          <w:bCs/>
          <w:sz w:val="24"/>
          <w:szCs w:val="28"/>
        </w:rPr>
        <w:t>日期：</w:t>
      </w:r>
      <w:r>
        <w:rPr>
          <w:rFonts w:hint="eastAsia" w:ascii="宋体" w:hAnsi="宋体"/>
          <w:bCs/>
          <w:sz w:val="24"/>
          <w:szCs w:val="28"/>
          <w:lang w:val="en-US" w:eastAsia="zh-CN"/>
        </w:rPr>
        <w:t xml:space="preserve">  </w:t>
      </w:r>
      <w:r>
        <w:rPr>
          <w:rFonts w:hint="eastAsia" w:ascii="宋体" w:hAnsi="宋体"/>
          <w:bCs/>
          <w:sz w:val="24"/>
          <w:szCs w:val="28"/>
          <w:lang w:val="zh-CN"/>
        </w:rPr>
        <w:t>年   月   日</w:t>
      </w:r>
    </w:p>
    <w:p w14:paraId="221199F3">
      <w:pPr>
        <w:tabs>
          <w:tab w:val="left" w:pos="168"/>
        </w:tabs>
        <w:adjustRightInd w:val="0"/>
        <w:spacing w:line="360" w:lineRule="auto"/>
        <w:jc w:val="right"/>
        <w:textAlignment w:val="baseline"/>
        <w:rPr>
          <w:rFonts w:ascii="宋体" w:hAnsi="宋体"/>
          <w:bCs/>
          <w:sz w:val="24"/>
          <w:szCs w:val="28"/>
        </w:rPr>
      </w:pPr>
    </w:p>
    <w:p w14:paraId="2B3CCE52">
      <w:pPr>
        <w:pStyle w:val="4"/>
        <w:tabs>
          <w:tab w:val="left" w:pos="425"/>
        </w:tabs>
        <w:ind w:left="709" w:hanging="709"/>
        <w:outlineLvl w:val="9"/>
        <w:rPr>
          <w:rFonts w:hAnsi="宋体"/>
          <w:bCs/>
          <w:sz w:val="24"/>
        </w:rPr>
      </w:pPr>
      <w:bookmarkStart w:id="415" w:name="_Toc444715742"/>
      <w:bookmarkStart w:id="416" w:name="_Toc25742"/>
      <w:bookmarkStart w:id="417" w:name="_Toc20510"/>
    </w:p>
    <w:p w14:paraId="01AC747B">
      <w:pPr>
        <w:pStyle w:val="4"/>
        <w:ind w:left="709" w:hanging="709"/>
        <w:jc w:val="left"/>
      </w:pPr>
      <w:r>
        <w:rPr>
          <w:bCs/>
          <w:sz w:val="24"/>
        </w:rPr>
        <w:br w:type="page"/>
      </w:r>
      <w:bookmarkStart w:id="418" w:name="_Toc31415"/>
      <w:bookmarkStart w:id="419" w:name="_Toc27997"/>
      <w:r>
        <w:rPr>
          <w:rFonts w:hint="eastAsia"/>
          <w:b/>
          <w:sz w:val="32"/>
        </w:rPr>
        <w:t>格式1</w:t>
      </w:r>
      <w:r>
        <w:rPr>
          <w:rFonts w:hint="eastAsia"/>
          <w:b/>
          <w:sz w:val="32"/>
          <w:lang w:val="en-US" w:eastAsia="zh-CN"/>
        </w:rPr>
        <w:t>4</w:t>
      </w:r>
      <w:r>
        <w:rPr>
          <w:rFonts w:hint="eastAsia"/>
          <w:b/>
          <w:sz w:val="32"/>
        </w:rPr>
        <w:t>、供应商基本情况表</w:t>
      </w:r>
      <w:bookmarkEnd w:id="418"/>
      <w:bookmarkEnd w:id="419"/>
    </w:p>
    <w:p w14:paraId="78EDCEFA">
      <w:pPr>
        <w:pStyle w:val="106"/>
        <w:spacing w:line="360" w:lineRule="auto"/>
        <w:ind w:firstLine="0" w:firstLineChars="0"/>
        <w:jc w:val="center"/>
        <w:rPr>
          <w:b/>
          <w:kern w:val="2"/>
          <w:sz w:val="32"/>
          <w:szCs w:val="36"/>
        </w:rPr>
      </w:pPr>
      <w:r>
        <w:rPr>
          <w:rFonts w:hint="eastAsia"/>
          <w:b/>
          <w:kern w:val="2"/>
          <w:sz w:val="32"/>
          <w:szCs w:val="36"/>
        </w:rPr>
        <w:t>供应商基本情况表</w:t>
      </w:r>
    </w:p>
    <w:tbl>
      <w:tblPr>
        <w:tblStyle w:val="33"/>
        <w:tblW w:w="0" w:type="auto"/>
        <w:jc w:val="center"/>
        <w:tblLayout w:type="fixed"/>
        <w:tblCellMar>
          <w:top w:w="0" w:type="dxa"/>
          <w:left w:w="108" w:type="dxa"/>
          <w:bottom w:w="0" w:type="dxa"/>
          <w:right w:w="108" w:type="dxa"/>
        </w:tblCellMar>
      </w:tblPr>
      <w:tblGrid>
        <w:gridCol w:w="1799"/>
        <w:gridCol w:w="929"/>
        <w:gridCol w:w="1251"/>
        <w:gridCol w:w="1260"/>
        <w:gridCol w:w="165"/>
        <w:gridCol w:w="1087"/>
        <w:gridCol w:w="632"/>
        <w:gridCol w:w="84"/>
        <w:gridCol w:w="544"/>
        <w:gridCol w:w="1252"/>
      </w:tblGrid>
      <w:tr w14:paraId="3C71834C">
        <w:tblPrEx>
          <w:tblCellMar>
            <w:top w:w="0" w:type="dxa"/>
            <w:left w:w="108" w:type="dxa"/>
            <w:bottom w:w="0" w:type="dxa"/>
            <w:right w:w="108" w:type="dxa"/>
          </w:tblCellMar>
        </w:tblPrEx>
        <w:trPr>
          <w:trHeight w:val="49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00B9D469">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供应商名称</w:t>
            </w:r>
          </w:p>
        </w:tc>
        <w:tc>
          <w:tcPr>
            <w:tcW w:w="7204" w:type="dxa"/>
            <w:gridSpan w:val="9"/>
            <w:tcBorders>
              <w:top w:val="single" w:color="auto" w:sz="4" w:space="0"/>
              <w:left w:val="single" w:color="auto" w:sz="4" w:space="0"/>
              <w:bottom w:val="single" w:color="auto" w:sz="4" w:space="0"/>
              <w:right w:val="single" w:color="auto" w:sz="4" w:space="0"/>
            </w:tcBorders>
            <w:vAlign w:val="center"/>
          </w:tcPr>
          <w:p w14:paraId="3CFB0FA1">
            <w:pPr>
              <w:autoSpaceDE w:val="0"/>
              <w:autoSpaceDN w:val="0"/>
              <w:adjustRightInd w:val="0"/>
              <w:spacing w:line="320" w:lineRule="exact"/>
              <w:jc w:val="center"/>
              <w:rPr>
                <w:rFonts w:ascii="宋体" w:hAnsi="宋体" w:cs="宋体"/>
                <w:kern w:val="0"/>
                <w:sz w:val="24"/>
              </w:rPr>
            </w:pPr>
          </w:p>
        </w:tc>
      </w:tr>
      <w:tr w14:paraId="528FAD1C">
        <w:tblPrEx>
          <w:tblCellMar>
            <w:top w:w="0" w:type="dxa"/>
            <w:left w:w="108" w:type="dxa"/>
            <w:bottom w:w="0" w:type="dxa"/>
            <w:right w:w="108" w:type="dxa"/>
          </w:tblCellMar>
        </w:tblPrEx>
        <w:trPr>
          <w:trHeight w:val="54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2AFE209C">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注册地址</w:t>
            </w:r>
          </w:p>
        </w:tc>
        <w:tc>
          <w:tcPr>
            <w:tcW w:w="3605" w:type="dxa"/>
            <w:gridSpan w:val="4"/>
            <w:tcBorders>
              <w:top w:val="single" w:color="auto" w:sz="4" w:space="0"/>
              <w:left w:val="single" w:color="auto" w:sz="4" w:space="0"/>
              <w:bottom w:val="single" w:color="auto" w:sz="4" w:space="0"/>
              <w:right w:val="single" w:color="auto" w:sz="4" w:space="0"/>
            </w:tcBorders>
            <w:vAlign w:val="center"/>
          </w:tcPr>
          <w:p w14:paraId="52781024">
            <w:pPr>
              <w:autoSpaceDE w:val="0"/>
              <w:autoSpaceDN w:val="0"/>
              <w:adjustRightInd w:val="0"/>
              <w:spacing w:line="320" w:lineRule="exact"/>
              <w:jc w:val="center"/>
              <w:rPr>
                <w:rFonts w:ascii="宋体" w:hAnsi="宋体" w:cs="宋体"/>
                <w:kern w:val="0"/>
                <w:sz w:val="24"/>
              </w:rPr>
            </w:pPr>
          </w:p>
        </w:tc>
        <w:tc>
          <w:tcPr>
            <w:tcW w:w="1803" w:type="dxa"/>
            <w:gridSpan w:val="3"/>
            <w:tcBorders>
              <w:top w:val="single" w:color="auto" w:sz="4" w:space="0"/>
              <w:left w:val="single" w:color="auto" w:sz="4" w:space="0"/>
              <w:bottom w:val="single" w:color="auto" w:sz="4" w:space="0"/>
              <w:right w:val="single" w:color="auto" w:sz="4" w:space="0"/>
            </w:tcBorders>
            <w:vAlign w:val="center"/>
          </w:tcPr>
          <w:p w14:paraId="44D8A72E">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邮政编码</w:t>
            </w:r>
          </w:p>
        </w:tc>
        <w:tc>
          <w:tcPr>
            <w:tcW w:w="1796" w:type="dxa"/>
            <w:gridSpan w:val="2"/>
            <w:tcBorders>
              <w:top w:val="single" w:color="auto" w:sz="4" w:space="0"/>
              <w:left w:val="single" w:color="auto" w:sz="4" w:space="0"/>
              <w:bottom w:val="single" w:color="auto" w:sz="4" w:space="0"/>
              <w:right w:val="single" w:color="auto" w:sz="4" w:space="0"/>
            </w:tcBorders>
            <w:vAlign w:val="center"/>
          </w:tcPr>
          <w:p w14:paraId="70A47F42">
            <w:pPr>
              <w:autoSpaceDE w:val="0"/>
              <w:autoSpaceDN w:val="0"/>
              <w:adjustRightInd w:val="0"/>
              <w:spacing w:line="320" w:lineRule="exact"/>
              <w:jc w:val="center"/>
              <w:rPr>
                <w:rFonts w:ascii="宋体" w:hAnsi="宋体" w:cs="宋体"/>
                <w:kern w:val="0"/>
                <w:sz w:val="24"/>
              </w:rPr>
            </w:pPr>
          </w:p>
        </w:tc>
      </w:tr>
      <w:tr w14:paraId="22BF4EC5">
        <w:tblPrEx>
          <w:tblCellMar>
            <w:top w:w="0" w:type="dxa"/>
            <w:left w:w="108" w:type="dxa"/>
            <w:bottom w:w="0" w:type="dxa"/>
            <w:right w:w="108" w:type="dxa"/>
          </w:tblCellMar>
        </w:tblPrEx>
        <w:trPr>
          <w:trHeight w:val="571"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57B49248">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联系方式</w:t>
            </w:r>
          </w:p>
        </w:tc>
        <w:tc>
          <w:tcPr>
            <w:tcW w:w="929" w:type="dxa"/>
            <w:tcBorders>
              <w:top w:val="single" w:color="auto" w:sz="4" w:space="0"/>
              <w:left w:val="single" w:color="auto" w:sz="4" w:space="0"/>
              <w:bottom w:val="single" w:color="auto" w:sz="4" w:space="0"/>
              <w:right w:val="single" w:color="auto" w:sz="4" w:space="0"/>
            </w:tcBorders>
            <w:vAlign w:val="center"/>
          </w:tcPr>
          <w:p w14:paraId="632FC252">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联系人</w:t>
            </w:r>
          </w:p>
        </w:tc>
        <w:tc>
          <w:tcPr>
            <w:tcW w:w="2676" w:type="dxa"/>
            <w:gridSpan w:val="3"/>
            <w:tcBorders>
              <w:top w:val="single" w:color="auto" w:sz="4" w:space="0"/>
              <w:left w:val="single" w:color="auto" w:sz="4" w:space="0"/>
              <w:bottom w:val="single" w:color="auto" w:sz="4" w:space="0"/>
              <w:right w:val="single" w:color="auto" w:sz="4" w:space="0"/>
            </w:tcBorders>
            <w:vAlign w:val="center"/>
          </w:tcPr>
          <w:p w14:paraId="16741CD6">
            <w:pPr>
              <w:autoSpaceDE w:val="0"/>
              <w:autoSpaceDN w:val="0"/>
              <w:adjustRightInd w:val="0"/>
              <w:spacing w:line="320" w:lineRule="exact"/>
              <w:jc w:val="center"/>
              <w:rPr>
                <w:rFonts w:ascii="宋体" w:hAnsi="宋体" w:cs="宋体"/>
                <w:kern w:val="0"/>
                <w:sz w:val="24"/>
              </w:rPr>
            </w:pPr>
          </w:p>
        </w:tc>
        <w:tc>
          <w:tcPr>
            <w:tcW w:w="1803" w:type="dxa"/>
            <w:gridSpan w:val="3"/>
            <w:tcBorders>
              <w:top w:val="single" w:color="auto" w:sz="4" w:space="0"/>
              <w:left w:val="single" w:color="auto" w:sz="4" w:space="0"/>
              <w:bottom w:val="single" w:color="auto" w:sz="4" w:space="0"/>
              <w:right w:val="single" w:color="auto" w:sz="4" w:space="0"/>
            </w:tcBorders>
            <w:vAlign w:val="center"/>
          </w:tcPr>
          <w:p w14:paraId="16F1E1D0">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电话</w:t>
            </w:r>
          </w:p>
        </w:tc>
        <w:tc>
          <w:tcPr>
            <w:tcW w:w="1796" w:type="dxa"/>
            <w:gridSpan w:val="2"/>
            <w:tcBorders>
              <w:top w:val="single" w:color="auto" w:sz="4" w:space="0"/>
              <w:left w:val="single" w:color="auto" w:sz="4" w:space="0"/>
              <w:bottom w:val="single" w:color="auto" w:sz="4" w:space="0"/>
              <w:right w:val="single" w:color="auto" w:sz="4" w:space="0"/>
            </w:tcBorders>
            <w:vAlign w:val="center"/>
          </w:tcPr>
          <w:p w14:paraId="387E7421">
            <w:pPr>
              <w:autoSpaceDE w:val="0"/>
              <w:autoSpaceDN w:val="0"/>
              <w:adjustRightInd w:val="0"/>
              <w:spacing w:line="320" w:lineRule="exact"/>
              <w:jc w:val="center"/>
              <w:rPr>
                <w:rFonts w:ascii="宋体" w:hAnsi="宋体" w:cs="宋体"/>
                <w:kern w:val="0"/>
                <w:sz w:val="24"/>
              </w:rPr>
            </w:pPr>
          </w:p>
        </w:tc>
      </w:tr>
      <w:tr w14:paraId="3B606917">
        <w:tblPrEx>
          <w:tblCellMar>
            <w:top w:w="0" w:type="dxa"/>
            <w:left w:w="108" w:type="dxa"/>
            <w:bottom w:w="0" w:type="dxa"/>
            <w:right w:w="108" w:type="dxa"/>
          </w:tblCellMar>
        </w:tblPrEx>
        <w:trPr>
          <w:trHeight w:val="551"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775540E5">
            <w:pPr>
              <w:autoSpaceDE w:val="0"/>
              <w:autoSpaceDN w:val="0"/>
              <w:adjustRightInd w:val="0"/>
              <w:spacing w:line="320" w:lineRule="exact"/>
              <w:jc w:val="center"/>
              <w:rPr>
                <w:rFonts w:ascii="宋体" w:hAnsi="宋体" w:cs="宋体"/>
                <w:kern w:val="0"/>
                <w:sz w:val="24"/>
              </w:rPr>
            </w:pPr>
          </w:p>
        </w:tc>
        <w:tc>
          <w:tcPr>
            <w:tcW w:w="929" w:type="dxa"/>
            <w:tcBorders>
              <w:top w:val="single" w:color="auto" w:sz="4" w:space="0"/>
              <w:left w:val="single" w:color="auto" w:sz="4" w:space="0"/>
              <w:bottom w:val="single" w:color="auto" w:sz="4" w:space="0"/>
              <w:right w:val="single" w:color="auto" w:sz="4" w:space="0"/>
            </w:tcBorders>
            <w:vAlign w:val="center"/>
          </w:tcPr>
          <w:p w14:paraId="31580A53">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传真</w:t>
            </w:r>
          </w:p>
        </w:tc>
        <w:tc>
          <w:tcPr>
            <w:tcW w:w="2676" w:type="dxa"/>
            <w:gridSpan w:val="3"/>
            <w:tcBorders>
              <w:top w:val="single" w:color="auto" w:sz="4" w:space="0"/>
              <w:left w:val="single" w:color="auto" w:sz="4" w:space="0"/>
              <w:bottom w:val="single" w:color="auto" w:sz="4" w:space="0"/>
              <w:right w:val="single" w:color="auto" w:sz="4" w:space="0"/>
            </w:tcBorders>
            <w:vAlign w:val="center"/>
          </w:tcPr>
          <w:p w14:paraId="34EB6670">
            <w:pPr>
              <w:autoSpaceDE w:val="0"/>
              <w:autoSpaceDN w:val="0"/>
              <w:adjustRightInd w:val="0"/>
              <w:spacing w:line="320" w:lineRule="exact"/>
              <w:jc w:val="center"/>
              <w:rPr>
                <w:rFonts w:ascii="宋体" w:hAnsi="宋体" w:cs="宋体"/>
                <w:kern w:val="0"/>
                <w:sz w:val="24"/>
              </w:rPr>
            </w:pPr>
          </w:p>
        </w:tc>
        <w:tc>
          <w:tcPr>
            <w:tcW w:w="1803" w:type="dxa"/>
            <w:gridSpan w:val="3"/>
            <w:tcBorders>
              <w:top w:val="single" w:color="auto" w:sz="4" w:space="0"/>
              <w:left w:val="single" w:color="auto" w:sz="4" w:space="0"/>
              <w:bottom w:val="single" w:color="auto" w:sz="4" w:space="0"/>
              <w:right w:val="single" w:color="auto" w:sz="4" w:space="0"/>
            </w:tcBorders>
            <w:vAlign w:val="center"/>
          </w:tcPr>
          <w:p w14:paraId="465B3F00">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网址</w:t>
            </w:r>
          </w:p>
        </w:tc>
        <w:tc>
          <w:tcPr>
            <w:tcW w:w="1796" w:type="dxa"/>
            <w:gridSpan w:val="2"/>
            <w:tcBorders>
              <w:top w:val="single" w:color="auto" w:sz="4" w:space="0"/>
              <w:left w:val="single" w:color="auto" w:sz="4" w:space="0"/>
              <w:bottom w:val="single" w:color="auto" w:sz="4" w:space="0"/>
              <w:right w:val="single" w:color="auto" w:sz="4" w:space="0"/>
            </w:tcBorders>
            <w:vAlign w:val="center"/>
          </w:tcPr>
          <w:p w14:paraId="260032BC">
            <w:pPr>
              <w:autoSpaceDE w:val="0"/>
              <w:autoSpaceDN w:val="0"/>
              <w:adjustRightInd w:val="0"/>
              <w:spacing w:line="320" w:lineRule="exact"/>
              <w:jc w:val="center"/>
              <w:rPr>
                <w:rFonts w:ascii="宋体" w:hAnsi="宋体" w:cs="宋体"/>
                <w:kern w:val="0"/>
                <w:sz w:val="24"/>
              </w:rPr>
            </w:pPr>
          </w:p>
        </w:tc>
      </w:tr>
      <w:tr w14:paraId="7B70FA50">
        <w:tblPrEx>
          <w:tblCellMar>
            <w:top w:w="0" w:type="dxa"/>
            <w:left w:w="108" w:type="dxa"/>
            <w:bottom w:w="0" w:type="dxa"/>
            <w:right w:w="108" w:type="dxa"/>
          </w:tblCellMar>
        </w:tblPrEx>
        <w:trPr>
          <w:trHeight w:val="55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660D11EB">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组织结构</w:t>
            </w:r>
          </w:p>
        </w:tc>
        <w:tc>
          <w:tcPr>
            <w:tcW w:w="7204" w:type="dxa"/>
            <w:gridSpan w:val="9"/>
            <w:tcBorders>
              <w:top w:val="single" w:color="auto" w:sz="4" w:space="0"/>
              <w:left w:val="single" w:color="auto" w:sz="4" w:space="0"/>
              <w:bottom w:val="single" w:color="auto" w:sz="4" w:space="0"/>
              <w:right w:val="single" w:color="auto" w:sz="4" w:space="0"/>
            </w:tcBorders>
            <w:vAlign w:val="center"/>
          </w:tcPr>
          <w:p w14:paraId="55B06627">
            <w:pPr>
              <w:autoSpaceDE w:val="0"/>
              <w:autoSpaceDN w:val="0"/>
              <w:adjustRightInd w:val="0"/>
              <w:spacing w:line="320" w:lineRule="exact"/>
              <w:jc w:val="center"/>
              <w:rPr>
                <w:rFonts w:ascii="宋体" w:hAnsi="宋体" w:cs="宋体"/>
                <w:kern w:val="0"/>
                <w:sz w:val="24"/>
              </w:rPr>
            </w:pPr>
          </w:p>
        </w:tc>
      </w:tr>
      <w:tr w14:paraId="05A88FE0">
        <w:tblPrEx>
          <w:tblCellMar>
            <w:top w:w="0" w:type="dxa"/>
            <w:left w:w="108" w:type="dxa"/>
            <w:bottom w:w="0" w:type="dxa"/>
            <w:right w:w="108" w:type="dxa"/>
          </w:tblCellMar>
        </w:tblPrEx>
        <w:trPr>
          <w:trHeight w:val="553"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5B8E699C">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法定代表人</w:t>
            </w:r>
          </w:p>
        </w:tc>
        <w:tc>
          <w:tcPr>
            <w:tcW w:w="929" w:type="dxa"/>
            <w:tcBorders>
              <w:top w:val="single" w:color="auto" w:sz="4" w:space="0"/>
              <w:left w:val="single" w:color="auto" w:sz="4" w:space="0"/>
              <w:bottom w:val="single" w:color="auto" w:sz="4" w:space="0"/>
              <w:right w:val="single" w:color="auto" w:sz="4" w:space="0"/>
            </w:tcBorders>
            <w:vAlign w:val="center"/>
          </w:tcPr>
          <w:p w14:paraId="09EF8F18">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姓名</w:t>
            </w:r>
          </w:p>
        </w:tc>
        <w:tc>
          <w:tcPr>
            <w:tcW w:w="1251" w:type="dxa"/>
            <w:tcBorders>
              <w:top w:val="single" w:color="auto" w:sz="4" w:space="0"/>
              <w:left w:val="single" w:color="auto" w:sz="4" w:space="0"/>
              <w:bottom w:val="single" w:color="auto" w:sz="4" w:space="0"/>
              <w:right w:val="single" w:color="auto" w:sz="4" w:space="0"/>
            </w:tcBorders>
            <w:vAlign w:val="center"/>
          </w:tcPr>
          <w:p w14:paraId="178317DB">
            <w:pPr>
              <w:autoSpaceDE w:val="0"/>
              <w:autoSpaceDN w:val="0"/>
              <w:adjustRightInd w:val="0"/>
              <w:spacing w:line="320" w:lineRule="exact"/>
              <w:jc w:val="center"/>
              <w:rPr>
                <w:rFonts w:ascii="宋体" w:hAns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43AFD3E1">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技术职称</w:t>
            </w:r>
          </w:p>
        </w:tc>
        <w:tc>
          <w:tcPr>
            <w:tcW w:w="1252" w:type="dxa"/>
            <w:gridSpan w:val="2"/>
            <w:tcBorders>
              <w:top w:val="single" w:color="auto" w:sz="4" w:space="0"/>
              <w:left w:val="single" w:color="auto" w:sz="4" w:space="0"/>
              <w:bottom w:val="single" w:color="auto" w:sz="4" w:space="0"/>
              <w:right w:val="single" w:color="auto" w:sz="4" w:space="0"/>
            </w:tcBorders>
            <w:vAlign w:val="center"/>
          </w:tcPr>
          <w:p w14:paraId="164E6778">
            <w:pPr>
              <w:autoSpaceDE w:val="0"/>
              <w:autoSpaceDN w:val="0"/>
              <w:adjustRightInd w:val="0"/>
              <w:spacing w:line="320" w:lineRule="exact"/>
              <w:jc w:val="center"/>
              <w:rPr>
                <w:rFonts w:ascii="宋体" w:hAnsi="宋体" w:cs="宋体"/>
                <w:kern w:val="0"/>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14:paraId="5F3CD1F5">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电话</w:t>
            </w:r>
          </w:p>
        </w:tc>
        <w:tc>
          <w:tcPr>
            <w:tcW w:w="1252" w:type="dxa"/>
            <w:tcBorders>
              <w:top w:val="single" w:color="auto" w:sz="4" w:space="0"/>
              <w:left w:val="single" w:color="auto" w:sz="4" w:space="0"/>
              <w:bottom w:val="single" w:color="auto" w:sz="4" w:space="0"/>
              <w:right w:val="single" w:color="auto" w:sz="4" w:space="0"/>
            </w:tcBorders>
            <w:vAlign w:val="center"/>
          </w:tcPr>
          <w:p w14:paraId="017AC63A">
            <w:pPr>
              <w:autoSpaceDE w:val="0"/>
              <w:autoSpaceDN w:val="0"/>
              <w:adjustRightInd w:val="0"/>
              <w:spacing w:line="320" w:lineRule="exact"/>
              <w:jc w:val="center"/>
              <w:rPr>
                <w:rFonts w:ascii="宋体" w:hAnsi="宋体" w:cs="宋体"/>
                <w:kern w:val="0"/>
                <w:sz w:val="24"/>
              </w:rPr>
            </w:pPr>
          </w:p>
        </w:tc>
      </w:tr>
      <w:tr w14:paraId="1DCFBBD8">
        <w:tblPrEx>
          <w:tblCellMar>
            <w:top w:w="0" w:type="dxa"/>
            <w:left w:w="108" w:type="dxa"/>
            <w:bottom w:w="0" w:type="dxa"/>
            <w:right w:w="108" w:type="dxa"/>
          </w:tblCellMar>
        </w:tblPrEx>
        <w:trPr>
          <w:trHeight w:val="561"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5CDE84DA">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技术负责人</w:t>
            </w:r>
          </w:p>
        </w:tc>
        <w:tc>
          <w:tcPr>
            <w:tcW w:w="929" w:type="dxa"/>
            <w:tcBorders>
              <w:top w:val="single" w:color="auto" w:sz="4" w:space="0"/>
              <w:left w:val="single" w:color="auto" w:sz="4" w:space="0"/>
              <w:bottom w:val="single" w:color="auto" w:sz="4" w:space="0"/>
              <w:right w:val="single" w:color="auto" w:sz="4" w:space="0"/>
            </w:tcBorders>
            <w:vAlign w:val="center"/>
          </w:tcPr>
          <w:p w14:paraId="24F8CF9E">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姓名</w:t>
            </w:r>
          </w:p>
        </w:tc>
        <w:tc>
          <w:tcPr>
            <w:tcW w:w="1251" w:type="dxa"/>
            <w:tcBorders>
              <w:top w:val="single" w:color="auto" w:sz="4" w:space="0"/>
              <w:left w:val="single" w:color="auto" w:sz="4" w:space="0"/>
              <w:bottom w:val="single" w:color="auto" w:sz="4" w:space="0"/>
              <w:right w:val="single" w:color="auto" w:sz="4" w:space="0"/>
            </w:tcBorders>
            <w:vAlign w:val="center"/>
          </w:tcPr>
          <w:p w14:paraId="5D7C084C">
            <w:pPr>
              <w:autoSpaceDE w:val="0"/>
              <w:autoSpaceDN w:val="0"/>
              <w:adjustRightInd w:val="0"/>
              <w:spacing w:line="320" w:lineRule="exact"/>
              <w:jc w:val="center"/>
              <w:rPr>
                <w:rFonts w:ascii="宋体" w:hAns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083C6036">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技术职称</w:t>
            </w:r>
          </w:p>
        </w:tc>
        <w:tc>
          <w:tcPr>
            <w:tcW w:w="1252" w:type="dxa"/>
            <w:gridSpan w:val="2"/>
            <w:tcBorders>
              <w:top w:val="single" w:color="auto" w:sz="4" w:space="0"/>
              <w:left w:val="single" w:color="auto" w:sz="4" w:space="0"/>
              <w:bottom w:val="single" w:color="auto" w:sz="4" w:space="0"/>
              <w:right w:val="single" w:color="auto" w:sz="4" w:space="0"/>
            </w:tcBorders>
            <w:vAlign w:val="center"/>
          </w:tcPr>
          <w:p w14:paraId="1A656CBD">
            <w:pPr>
              <w:autoSpaceDE w:val="0"/>
              <w:autoSpaceDN w:val="0"/>
              <w:adjustRightInd w:val="0"/>
              <w:spacing w:line="320" w:lineRule="exact"/>
              <w:jc w:val="center"/>
              <w:rPr>
                <w:rFonts w:ascii="宋体" w:hAnsi="宋体" w:cs="宋体"/>
                <w:kern w:val="0"/>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14:paraId="51B66E80">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电话</w:t>
            </w:r>
          </w:p>
        </w:tc>
        <w:tc>
          <w:tcPr>
            <w:tcW w:w="1252" w:type="dxa"/>
            <w:tcBorders>
              <w:top w:val="single" w:color="auto" w:sz="4" w:space="0"/>
              <w:left w:val="single" w:color="auto" w:sz="4" w:space="0"/>
              <w:bottom w:val="single" w:color="auto" w:sz="4" w:space="0"/>
              <w:right w:val="single" w:color="auto" w:sz="4" w:space="0"/>
            </w:tcBorders>
            <w:vAlign w:val="center"/>
          </w:tcPr>
          <w:p w14:paraId="312115E8">
            <w:pPr>
              <w:autoSpaceDE w:val="0"/>
              <w:autoSpaceDN w:val="0"/>
              <w:adjustRightInd w:val="0"/>
              <w:spacing w:line="320" w:lineRule="exact"/>
              <w:jc w:val="center"/>
              <w:rPr>
                <w:rFonts w:ascii="宋体" w:hAnsi="宋体" w:cs="宋体"/>
                <w:kern w:val="0"/>
                <w:sz w:val="24"/>
              </w:rPr>
            </w:pPr>
          </w:p>
        </w:tc>
      </w:tr>
      <w:tr w14:paraId="543806D7">
        <w:tblPrEx>
          <w:tblCellMar>
            <w:top w:w="0" w:type="dxa"/>
            <w:left w:w="108" w:type="dxa"/>
            <w:bottom w:w="0" w:type="dxa"/>
            <w:right w:w="108" w:type="dxa"/>
          </w:tblCellMar>
        </w:tblPrEx>
        <w:trPr>
          <w:trHeight w:val="56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4E729AAF">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成立时间</w:t>
            </w:r>
          </w:p>
        </w:tc>
        <w:tc>
          <w:tcPr>
            <w:tcW w:w="2180" w:type="dxa"/>
            <w:gridSpan w:val="2"/>
            <w:tcBorders>
              <w:top w:val="single" w:color="auto" w:sz="4" w:space="0"/>
              <w:left w:val="single" w:color="auto" w:sz="4" w:space="0"/>
              <w:bottom w:val="single" w:color="auto" w:sz="4" w:space="0"/>
              <w:right w:val="single" w:color="auto" w:sz="4" w:space="0"/>
            </w:tcBorders>
            <w:vAlign w:val="center"/>
          </w:tcPr>
          <w:p w14:paraId="655E4393">
            <w:pPr>
              <w:autoSpaceDE w:val="0"/>
              <w:autoSpaceDN w:val="0"/>
              <w:adjustRightInd w:val="0"/>
              <w:spacing w:line="320" w:lineRule="exact"/>
              <w:jc w:val="center"/>
              <w:rPr>
                <w:rFonts w:ascii="宋体" w:hAnsi="宋体" w:cs="宋体"/>
                <w:kern w:val="0"/>
                <w:sz w:val="24"/>
              </w:rPr>
            </w:pPr>
          </w:p>
        </w:tc>
        <w:tc>
          <w:tcPr>
            <w:tcW w:w="5024" w:type="dxa"/>
            <w:gridSpan w:val="7"/>
            <w:tcBorders>
              <w:top w:val="single" w:color="auto" w:sz="4" w:space="0"/>
              <w:left w:val="single" w:color="auto" w:sz="4" w:space="0"/>
              <w:bottom w:val="single" w:color="auto" w:sz="4" w:space="0"/>
              <w:right w:val="single" w:color="auto" w:sz="4" w:space="0"/>
            </w:tcBorders>
            <w:vAlign w:val="center"/>
          </w:tcPr>
          <w:p w14:paraId="36DEBDA4">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员工总人数：</w:t>
            </w:r>
          </w:p>
        </w:tc>
      </w:tr>
      <w:tr w14:paraId="10AA0305">
        <w:tblPrEx>
          <w:tblCellMar>
            <w:top w:w="0" w:type="dxa"/>
            <w:left w:w="108" w:type="dxa"/>
            <w:bottom w:w="0" w:type="dxa"/>
            <w:right w:w="108" w:type="dxa"/>
          </w:tblCellMar>
        </w:tblPrEx>
        <w:trPr>
          <w:cantSplit/>
          <w:trHeight w:val="54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4EF4A0A8">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企业资质等级</w:t>
            </w:r>
          </w:p>
        </w:tc>
        <w:tc>
          <w:tcPr>
            <w:tcW w:w="2180" w:type="dxa"/>
            <w:gridSpan w:val="2"/>
            <w:tcBorders>
              <w:top w:val="single" w:color="auto" w:sz="4" w:space="0"/>
              <w:left w:val="single" w:color="auto" w:sz="4" w:space="0"/>
              <w:bottom w:val="single" w:color="auto" w:sz="4" w:space="0"/>
              <w:right w:val="single" w:color="auto" w:sz="4" w:space="0"/>
            </w:tcBorders>
            <w:vAlign w:val="center"/>
          </w:tcPr>
          <w:p w14:paraId="0CAFEF48">
            <w:pPr>
              <w:autoSpaceDE w:val="0"/>
              <w:autoSpaceDN w:val="0"/>
              <w:adjustRightInd w:val="0"/>
              <w:spacing w:line="320" w:lineRule="exact"/>
              <w:jc w:val="center"/>
              <w:rPr>
                <w:rFonts w:ascii="宋体" w:hAnsi="宋体" w:cs="宋体"/>
                <w:kern w:val="0"/>
                <w:sz w:val="24"/>
              </w:rPr>
            </w:pPr>
          </w:p>
        </w:tc>
        <w:tc>
          <w:tcPr>
            <w:tcW w:w="1260" w:type="dxa"/>
            <w:vMerge w:val="restart"/>
            <w:tcBorders>
              <w:top w:val="single" w:color="auto" w:sz="4" w:space="0"/>
              <w:left w:val="single" w:color="auto" w:sz="4" w:space="0"/>
              <w:bottom w:val="single" w:color="auto" w:sz="4" w:space="0"/>
              <w:right w:val="single" w:color="auto" w:sz="4" w:space="0"/>
            </w:tcBorders>
            <w:vAlign w:val="center"/>
          </w:tcPr>
          <w:p w14:paraId="5BF2E713">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其中</w:t>
            </w:r>
          </w:p>
          <w:p w14:paraId="2A96CAC6">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（根据情况分别填写）</w:t>
            </w:r>
          </w:p>
        </w:tc>
        <w:tc>
          <w:tcPr>
            <w:tcW w:w="1884" w:type="dxa"/>
            <w:gridSpan w:val="3"/>
            <w:tcBorders>
              <w:top w:val="single" w:color="auto" w:sz="4" w:space="0"/>
              <w:left w:val="single" w:color="auto" w:sz="4" w:space="0"/>
              <w:bottom w:val="single" w:color="auto" w:sz="4" w:space="0"/>
              <w:right w:val="single" w:color="auto" w:sz="4" w:space="0"/>
            </w:tcBorders>
            <w:vAlign w:val="center"/>
          </w:tcPr>
          <w:p w14:paraId="6C82B617">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注册执业人数</w:t>
            </w:r>
          </w:p>
        </w:tc>
        <w:tc>
          <w:tcPr>
            <w:tcW w:w="1880" w:type="dxa"/>
            <w:gridSpan w:val="3"/>
            <w:tcBorders>
              <w:top w:val="single" w:color="auto" w:sz="4" w:space="0"/>
              <w:left w:val="single" w:color="auto" w:sz="4" w:space="0"/>
              <w:bottom w:val="single" w:color="auto" w:sz="4" w:space="0"/>
              <w:right w:val="single" w:color="auto" w:sz="4" w:space="0"/>
            </w:tcBorders>
            <w:vAlign w:val="center"/>
          </w:tcPr>
          <w:p w14:paraId="6AAF992D">
            <w:pPr>
              <w:autoSpaceDE w:val="0"/>
              <w:autoSpaceDN w:val="0"/>
              <w:adjustRightInd w:val="0"/>
              <w:spacing w:line="320" w:lineRule="exact"/>
              <w:jc w:val="center"/>
              <w:rPr>
                <w:rFonts w:ascii="宋体" w:hAnsi="宋体" w:cs="宋体"/>
                <w:kern w:val="0"/>
                <w:sz w:val="24"/>
              </w:rPr>
            </w:pPr>
          </w:p>
        </w:tc>
      </w:tr>
      <w:tr w14:paraId="47D34D06">
        <w:tblPrEx>
          <w:tblCellMar>
            <w:top w:w="0" w:type="dxa"/>
            <w:left w:w="108" w:type="dxa"/>
            <w:bottom w:w="0" w:type="dxa"/>
            <w:right w:w="108" w:type="dxa"/>
          </w:tblCellMar>
        </w:tblPrEx>
        <w:trPr>
          <w:cantSplit/>
          <w:trHeight w:val="557"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6CC9A590">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营业执照号</w:t>
            </w:r>
          </w:p>
        </w:tc>
        <w:tc>
          <w:tcPr>
            <w:tcW w:w="2180" w:type="dxa"/>
            <w:gridSpan w:val="2"/>
            <w:tcBorders>
              <w:top w:val="single" w:color="auto" w:sz="4" w:space="0"/>
              <w:left w:val="single" w:color="auto" w:sz="4" w:space="0"/>
              <w:bottom w:val="single" w:color="auto" w:sz="4" w:space="0"/>
              <w:right w:val="single" w:color="auto" w:sz="4" w:space="0"/>
            </w:tcBorders>
            <w:vAlign w:val="center"/>
          </w:tcPr>
          <w:p w14:paraId="71231790">
            <w:pPr>
              <w:autoSpaceDE w:val="0"/>
              <w:autoSpaceDN w:val="0"/>
              <w:adjustRightInd w:val="0"/>
              <w:spacing w:line="320" w:lineRule="exact"/>
              <w:jc w:val="center"/>
              <w:rPr>
                <w:rFonts w:ascii="宋体" w:hAnsi="宋体" w:cs="宋体"/>
                <w:kern w:val="0"/>
                <w:sz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14:paraId="3ED1E8B6">
            <w:pPr>
              <w:autoSpaceDE w:val="0"/>
              <w:autoSpaceDN w:val="0"/>
              <w:adjustRightInd w:val="0"/>
              <w:spacing w:line="320" w:lineRule="exact"/>
              <w:jc w:val="center"/>
              <w:rPr>
                <w:rFonts w:ascii="宋体" w:hAnsi="宋体" w:cs="宋体"/>
                <w:kern w:val="0"/>
                <w:sz w:val="24"/>
              </w:rPr>
            </w:pPr>
          </w:p>
        </w:tc>
        <w:tc>
          <w:tcPr>
            <w:tcW w:w="1884" w:type="dxa"/>
            <w:gridSpan w:val="3"/>
            <w:tcBorders>
              <w:top w:val="single" w:color="auto" w:sz="4" w:space="0"/>
              <w:left w:val="single" w:color="auto" w:sz="4" w:space="0"/>
              <w:bottom w:val="single" w:color="auto" w:sz="4" w:space="0"/>
              <w:right w:val="single" w:color="auto" w:sz="4" w:space="0"/>
            </w:tcBorders>
            <w:vAlign w:val="center"/>
          </w:tcPr>
          <w:p w14:paraId="0087BCB8">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高级职称人员</w:t>
            </w:r>
          </w:p>
        </w:tc>
        <w:tc>
          <w:tcPr>
            <w:tcW w:w="1880" w:type="dxa"/>
            <w:gridSpan w:val="3"/>
            <w:tcBorders>
              <w:top w:val="single" w:color="auto" w:sz="4" w:space="0"/>
              <w:left w:val="single" w:color="auto" w:sz="4" w:space="0"/>
              <w:bottom w:val="single" w:color="auto" w:sz="4" w:space="0"/>
              <w:right w:val="single" w:color="auto" w:sz="4" w:space="0"/>
            </w:tcBorders>
            <w:vAlign w:val="center"/>
          </w:tcPr>
          <w:p w14:paraId="778D712E">
            <w:pPr>
              <w:autoSpaceDE w:val="0"/>
              <w:autoSpaceDN w:val="0"/>
              <w:adjustRightInd w:val="0"/>
              <w:spacing w:line="320" w:lineRule="exact"/>
              <w:jc w:val="center"/>
              <w:rPr>
                <w:rFonts w:ascii="宋体" w:hAnsi="宋体" w:cs="宋体"/>
                <w:kern w:val="0"/>
                <w:sz w:val="24"/>
              </w:rPr>
            </w:pPr>
          </w:p>
        </w:tc>
      </w:tr>
      <w:tr w14:paraId="17D22B63">
        <w:tblPrEx>
          <w:tblCellMar>
            <w:top w:w="0" w:type="dxa"/>
            <w:left w:w="108" w:type="dxa"/>
            <w:bottom w:w="0" w:type="dxa"/>
            <w:right w:w="108" w:type="dxa"/>
          </w:tblCellMar>
        </w:tblPrEx>
        <w:trPr>
          <w:cantSplit/>
          <w:trHeight w:val="551"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2DB3C9B0">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注册资金</w:t>
            </w:r>
          </w:p>
        </w:tc>
        <w:tc>
          <w:tcPr>
            <w:tcW w:w="2180" w:type="dxa"/>
            <w:gridSpan w:val="2"/>
            <w:tcBorders>
              <w:top w:val="single" w:color="auto" w:sz="4" w:space="0"/>
              <w:left w:val="single" w:color="auto" w:sz="4" w:space="0"/>
              <w:bottom w:val="single" w:color="auto" w:sz="4" w:space="0"/>
              <w:right w:val="single" w:color="auto" w:sz="4" w:space="0"/>
            </w:tcBorders>
            <w:vAlign w:val="center"/>
          </w:tcPr>
          <w:p w14:paraId="63868AB5">
            <w:pPr>
              <w:autoSpaceDE w:val="0"/>
              <w:autoSpaceDN w:val="0"/>
              <w:adjustRightInd w:val="0"/>
              <w:spacing w:line="320" w:lineRule="exact"/>
              <w:jc w:val="center"/>
              <w:rPr>
                <w:rFonts w:ascii="宋体" w:hAnsi="宋体" w:cs="宋体"/>
                <w:kern w:val="0"/>
                <w:sz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14:paraId="0CB9CD1B">
            <w:pPr>
              <w:autoSpaceDE w:val="0"/>
              <w:autoSpaceDN w:val="0"/>
              <w:adjustRightInd w:val="0"/>
              <w:spacing w:line="320" w:lineRule="exact"/>
              <w:jc w:val="center"/>
              <w:rPr>
                <w:rFonts w:ascii="宋体" w:hAnsi="宋体" w:cs="宋体"/>
                <w:kern w:val="0"/>
                <w:sz w:val="24"/>
              </w:rPr>
            </w:pPr>
          </w:p>
        </w:tc>
        <w:tc>
          <w:tcPr>
            <w:tcW w:w="1884" w:type="dxa"/>
            <w:gridSpan w:val="3"/>
            <w:tcBorders>
              <w:top w:val="single" w:color="auto" w:sz="4" w:space="0"/>
              <w:left w:val="single" w:color="auto" w:sz="4" w:space="0"/>
              <w:bottom w:val="single" w:color="auto" w:sz="4" w:space="0"/>
              <w:right w:val="single" w:color="auto" w:sz="4" w:space="0"/>
            </w:tcBorders>
            <w:vAlign w:val="center"/>
          </w:tcPr>
          <w:p w14:paraId="35576269">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中级职称人员</w:t>
            </w:r>
          </w:p>
        </w:tc>
        <w:tc>
          <w:tcPr>
            <w:tcW w:w="1880" w:type="dxa"/>
            <w:gridSpan w:val="3"/>
            <w:tcBorders>
              <w:top w:val="single" w:color="auto" w:sz="4" w:space="0"/>
              <w:left w:val="single" w:color="auto" w:sz="4" w:space="0"/>
              <w:bottom w:val="single" w:color="auto" w:sz="4" w:space="0"/>
              <w:right w:val="single" w:color="auto" w:sz="4" w:space="0"/>
            </w:tcBorders>
            <w:vAlign w:val="center"/>
          </w:tcPr>
          <w:p w14:paraId="18344AEA">
            <w:pPr>
              <w:autoSpaceDE w:val="0"/>
              <w:autoSpaceDN w:val="0"/>
              <w:adjustRightInd w:val="0"/>
              <w:spacing w:line="320" w:lineRule="exact"/>
              <w:jc w:val="center"/>
              <w:rPr>
                <w:rFonts w:ascii="宋体" w:hAnsi="宋体" w:cs="宋体"/>
                <w:kern w:val="0"/>
                <w:sz w:val="24"/>
              </w:rPr>
            </w:pPr>
          </w:p>
        </w:tc>
      </w:tr>
      <w:tr w14:paraId="31080351">
        <w:tblPrEx>
          <w:tblCellMar>
            <w:top w:w="0" w:type="dxa"/>
            <w:left w:w="108" w:type="dxa"/>
            <w:bottom w:w="0" w:type="dxa"/>
            <w:right w:w="108" w:type="dxa"/>
          </w:tblCellMar>
        </w:tblPrEx>
        <w:trPr>
          <w:cantSplit/>
          <w:trHeight w:val="559"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38F6B4B1">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开户银行</w:t>
            </w:r>
          </w:p>
        </w:tc>
        <w:tc>
          <w:tcPr>
            <w:tcW w:w="2180" w:type="dxa"/>
            <w:gridSpan w:val="2"/>
            <w:tcBorders>
              <w:top w:val="single" w:color="auto" w:sz="4" w:space="0"/>
              <w:left w:val="single" w:color="auto" w:sz="4" w:space="0"/>
              <w:bottom w:val="single" w:color="auto" w:sz="4" w:space="0"/>
              <w:right w:val="single" w:color="auto" w:sz="4" w:space="0"/>
            </w:tcBorders>
            <w:vAlign w:val="center"/>
          </w:tcPr>
          <w:p w14:paraId="47DE037A">
            <w:pPr>
              <w:autoSpaceDE w:val="0"/>
              <w:autoSpaceDN w:val="0"/>
              <w:adjustRightInd w:val="0"/>
              <w:spacing w:line="320" w:lineRule="exact"/>
              <w:jc w:val="center"/>
              <w:rPr>
                <w:rFonts w:ascii="宋体" w:hAnsi="宋体" w:cs="宋体"/>
                <w:kern w:val="0"/>
                <w:sz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14:paraId="6E70B50F">
            <w:pPr>
              <w:autoSpaceDE w:val="0"/>
              <w:autoSpaceDN w:val="0"/>
              <w:adjustRightInd w:val="0"/>
              <w:spacing w:line="320" w:lineRule="exact"/>
              <w:jc w:val="center"/>
              <w:rPr>
                <w:rFonts w:ascii="宋体" w:hAnsi="宋体" w:cs="宋体"/>
                <w:kern w:val="0"/>
                <w:sz w:val="24"/>
              </w:rPr>
            </w:pPr>
          </w:p>
        </w:tc>
        <w:tc>
          <w:tcPr>
            <w:tcW w:w="1884" w:type="dxa"/>
            <w:gridSpan w:val="3"/>
            <w:tcBorders>
              <w:top w:val="single" w:color="auto" w:sz="4" w:space="0"/>
              <w:left w:val="single" w:color="auto" w:sz="4" w:space="0"/>
              <w:bottom w:val="single" w:color="auto" w:sz="4" w:space="0"/>
              <w:right w:val="single" w:color="auto" w:sz="4" w:space="0"/>
            </w:tcBorders>
            <w:vAlign w:val="center"/>
          </w:tcPr>
          <w:p w14:paraId="39EBDB03">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初级职称人员</w:t>
            </w:r>
          </w:p>
        </w:tc>
        <w:tc>
          <w:tcPr>
            <w:tcW w:w="1880" w:type="dxa"/>
            <w:gridSpan w:val="3"/>
            <w:tcBorders>
              <w:top w:val="single" w:color="auto" w:sz="4" w:space="0"/>
              <w:left w:val="single" w:color="auto" w:sz="4" w:space="0"/>
              <w:bottom w:val="single" w:color="auto" w:sz="4" w:space="0"/>
              <w:right w:val="single" w:color="auto" w:sz="4" w:space="0"/>
            </w:tcBorders>
            <w:vAlign w:val="center"/>
          </w:tcPr>
          <w:p w14:paraId="222FA611">
            <w:pPr>
              <w:autoSpaceDE w:val="0"/>
              <w:autoSpaceDN w:val="0"/>
              <w:adjustRightInd w:val="0"/>
              <w:spacing w:line="320" w:lineRule="exact"/>
              <w:jc w:val="center"/>
              <w:rPr>
                <w:rFonts w:ascii="宋体" w:hAnsi="宋体" w:cs="宋体"/>
                <w:kern w:val="0"/>
                <w:sz w:val="24"/>
              </w:rPr>
            </w:pPr>
          </w:p>
        </w:tc>
      </w:tr>
      <w:tr w14:paraId="6CB77258">
        <w:tblPrEx>
          <w:tblCellMar>
            <w:top w:w="0" w:type="dxa"/>
            <w:left w:w="108" w:type="dxa"/>
            <w:bottom w:w="0" w:type="dxa"/>
            <w:right w:w="108" w:type="dxa"/>
          </w:tblCellMar>
        </w:tblPrEx>
        <w:trPr>
          <w:trHeight w:val="2257"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13A9E59C">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经营范围</w:t>
            </w:r>
          </w:p>
        </w:tc>
        <w:tc>
          <w:tcPr>
            <w:tcW w:w="7204" w:type="dxa"/>
            <w:gridSpan w:val="9"/>
            <w:tcBorders>
              <w:top w:val="single" w:color="auto" w:sz="4" w:space="0"/>
              <w:left w:val="single" w:color="auto" w:sz="4" w:space="0"/>
              <w:bottom w:val="single" w:color="auto" w:sz="4" w:space="0"/>
              <w:right w:val="single" w:color="auto" w:sz="4" w:space="0"/>
            </w:tcBorders>
            <w:vAlign w:val="center"/>
          </w:tcPr>
          <w:p w14:paraId="1853E14B">
            <w:pPr>
              <w:autoSpaceDE w:val="0"/>
              <w:autoSpaceDN w:val="0"/>
              <w:adjustRightInd w:val="0"/>
              <w:spacing w:line="320" w:lineRule="exact"/>
              <w:jc w:val="center"/>
              <w:rPr>
                <w:rFonts w:ascii="宋体" w:hAnsi="宋体" w:cs="宋体"/>
                <w:kern w:val="0"/>
                <w:sz w:val="24"/>
              </w:rPr>
            </w:pPr>
          </w:p>
        </w:tc>
      </w:tr>
      <w:tr w14:paraId="7849C2DD">
        <w:tblPrEx>
          <w:tblCellMar>
            <w:top w:w="0" w:type="dxa"/>
            <w:left w:w="108" w:type="dxa"/>
            <w:bottom w:w="0" w:type="dxa"/>
            <w:right w:w="108" w:type="dxa"/>
          </w:tblCellMar>
        </w:tblPrEx>
        <w:trPr>
          <w:trHeight w:val="1112" w:hRule="atLeast"/>
          <w:jc w:val="center"/>
        </w:trPr>
        <w:tc>
          <w:tcPr>
            <w:tcW w:w="1799" w:type="dxa"/>
            <w:tcBorders>
              <w:top w:val="single" w:color="auto" w:sz="4" w:space="0"/>
              <w:left w:val="single" w:color="auto" w:sz="4" w:space="0"/>
              <w:bottom w:val="single" w:color="auto" w:sz="4" w:space="0"/>
              <w:right w:val="single" w:color="auto" w:sz="4" w:space="0"/>
            </w:tcBorders>
            <w:vAlign w:val="center"/>
          </w:tcPr>
          <w:p w14:paraId="117F07A6">
            <w:pPr>
              <w:autoSpaceDE w:val="0"/>
              <w:autoSpaceDN w:val="0"/>
              <w:adjustRightInd w:val="0"/>
              <w:spacing w:line="320" w:lineRule="exact"/>
              <w:jc w:val="center"/>
              <w:rPr>
                <w:rFonts w:ascii="宋体" w:hAnsi="宋体" w:cs="宋体"/>
                <w:kern w:val="0"/>
                <w:sz w:val="24"/>
              </w:rPr>
            </w:pPr>
            <w:r>
              <w:rPr>
                <w:rFonts w:hint="eastAsia" w:ascii="宋体" w:hAnsi="宋体" w:cs="宋体"/>
                <w:kern w:val="0"/>
                <w:sz w:val="24"/>
              </w:rPr>
              <w:t>备注</w:t>
            </w:r>
          </w:p>
        </w:tc>
        <w:tc>
          <w:tcPr>
            <w:tcW w:w="7204" w:type="dxa"/>
            <w:gridSpan w:val="9"/>
            <w:tcBorders>
              <w:top w:val="single" w:color="auto" w:sz="4" w:space="0"/>
              <w:left w:val="single" w:color="auto" w:sz="4" w:space="0"/>
              <w:bottom w:val="single" w:color="auto" w:sz="4" w:space="0"/>
              <w:right w:val="single" w:color="auto" w:sz="4" w:space="0"/>
            </w:tcBorders>
            <w:vAlign w:val="center"/>
          </w:tcPr>
          <w:p w14:paraId="36868AF8">
            <w:pPr>
              <w:autoSpaceDE w:val="0"/>
              <w:autoSpaceDN w:val="0"/>
              <w:adjustRightInd w:val="0"/>
              <w:spacing w:line="320" w:lineRule="exact"/>
              <w:jc w:val="center"/>
              <w:rPr>
                <w:rFonts w:ascii="宋体" w:hAnsi="宋体" w:cs="宋体"/>
                <w:kern w:val="0"/>
                <w:sz w:val="24"/>
              </w:rPr>
            </w:pPr>
          </w:p>
        </w:tc>
      </w:tr>
    </w:tbl>
    <w:p w14:paraId="1BF6A399">
      <w:pPr>
        <w:pStyle w:val="4"/>
        <w:ind w:left="709" w:hanging="709"/>
        <w:rPr>
          <w:b/>
          <w:color w:val="000000" w:themeColor="text1"/>
          <w:szCs w:val="28"/>
          <w14:textFill>
            <w14:solidFill>
              <w14:schemeClr w14:val="tx1"/>
            </w14:solidFill>
          </w14:textFill>
        </w:rPr>
      </w:pPr>
      <w:r>
        <w:rPr>
          <w:bCs/>
          <w:sz w:val="24"/>
          <w:szCs w:val="28"/>
        </w:rPr>
        <w:br w:type="page"/>
      </w:r>
      <w:bookmarkStart w:id="420" w:name="_Toc21795"/>
      <w:bookmarkStart w:id="421" w:name="_Toc20250"/>
      <w:r>
        <w:rPr>
          <w:rFonts w:hint="eastAsia"/>
          <w:b/>
          <w:color w:val="000000" w:themeColor="text1"/>
          <w:sz w:val="32"/>
          <w14:textFill>
            <w14:solidFill>
              <w14:schemeClr w14:val="tx1"/>
            </w14:solidFill>
          </w14:textFill>
        </w:rPr>
        <w:t>格式1</w:t>
      </w:r>
      <w:r>
        <w:rPr>
          <w:rFonts w:hint="eastAsia"/>
          <w:b/>
          <w:color w:val="000000" w:themeColor="text1"/>
          <w:sz w:val="32"/>
          <w:lang w:val="en-US" w:eastAsia="zh-CN"/>
          <w14:textFill>
            <w14:solidFill>
              <w14:schemeClr w14:val="tx1"/>
            </w14:solidFill>
          </w14:textFill>
        </w:rPr>
        <w:t>5</w:t>
      </w:r>
      <w:r>
        <w:rPr>
          <w:rFonts w:hint="eastAsia"/>
          <w:b/>
          <w:color w:val="000000" w:themeColor="text1"/>
          <w:sz w:val="32"/>
          <w14:textFill>
            <w14:solidFill>
              <w14:schemeClr w14:val="tx1"/>
            </w14:solidFill>
          </w14:textFill>
        </w:rPr>
        <w:t>、</w:t>
      </w:r>
      <w:r>
        <w:rPr>
          <w:rFonts w:hint="eastAsia"/>
          <w:b/>
          <w:color w:val="000000" w:themeColor="text1"/>
          <w:sz w:val="32"/>
          <w:szCs w:val="28"/>
          <w14:textFill>
            <w14:solidFill>
              <w14:schemeClr w14:val="tx1"/>
            </w14:solidFill>
          </w14:textFill>
        </w:rPr>
        <w:t>拟投入项目服务团队情况表</w:t>
      </w:r>
      <w:bookmarkEnd w:id="420"/>
      <w:bookmarkEnd w:id="421"/>
    </w:p>
    <w:p w14:paraId="00CBA298">
      <w:pPr>
        <w:ind w:firstLine="2909" w:firstLineChars="805"/>
        <w:rPr>
          <w:rFonts w:ascii="宋体"/>
          <w:b/>
          <w:color w:val="000000" w:themeColor="text1"/>
          <w:sz w:val="36"/>
          <w:szCs w:val="36"/>
          <w14:textFill>
            <w14:solidFill>
              <w14:schemeClr w14:val="tx1"/>
            </w14:solidFill>
          </w14:textFill>
        </w:rPr>
      </w:pPr>
    </w:p>
    <w:p w14:paraId="106D7DCA">
      <w:pPr>
        <w:ind w:firstLine="630" w:firstLineChars="196"/>
        <w:jc w:val="center"/>
        <w:rPr>
          <w:rFonts w:ascii="宋体" w:hAnsi="宋体"/>
          <w:b/>
          <w:color w:val="000000" w:themeColor="text1"/>
          <w:sz w:val="32"/>
          <w:szCs w:val="36"/>
          <w14:textFill>
            <w14:solidFill>
              <w14:schemeClr w14:val="tx1"/>
            </w14:solidFill>
          </w14:textFill>
        </w:rPr>
      </w:pPr>
      <w:r>
        <w:rPr>
          <w:rFonts w:hint="eastAsia" w:ascii="宋体" w:hAnsi="宋体"/>
          <w:b/>
          <w:color w:val="000000" w:themeColor="text1"/>
          <w:sz w:val="32"/>
          <w:szCs w:val="36"/>
          <w14:textFill>
            <w14:solidFill>
              <w14:schemeClr w14:val="tx1"/>
            </w14:solidFill>
          </w14:textFill>
        </w:rPr>
        <w:t>拟投入项目服务团队情况表</w:t>
      </w:r>
    </w:p>
    <w:tbl>
      <w:tblPr>
        <w:tblStyle w:val="33"/>
        <w:tblW w:w="92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57"/>
        <w:gridCol w:w="870"/>
        <w:gridCol w:w="1028"/>
        <w:gridCol w:w="1323"/>
        <w:gridCol w:w="965"/>
        <w:gridCol w:w="945"/>
        <w:gridCol w:w="1321"/>
        <w:gridCol w:w="1910"/>
      </w:tblGrid>
      <w:tr w14:paraId="6090B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76" w:hRule="exact"/>
          <w:jc w:val="center"/>
        </w:trPr>
        <w:tc>
          <w:tcPr>
            <w:tcW w:w="2755" w:type="dxa"/>
            <w:gridSpan w:val="3"/>
          </w:tcPr>
          <w:p w14:paraId="6C87D5E0">
            <w:pPr>
              <w:autoSpaceDE w:val="0"/>
              <w:autoSpaceDN w:val="0"/>
              <w:snapToGrid w:val="0"/>
              <w:spacing w:before="138" w:line="263" w:lineRule="exact"/>
              <w:ind w:left="480"/>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其他主要人员总数</w:t>
            </w:r>
          </w:p>
        </w:tc>
        <w:tc>
          <w:tcPr>
            <w:tcW w:w="6464" w:type="dxa"/>
            <w:gridSpan w:val="5"/>
          </w:tcPr>
          <w:p w14:paraId="3E0E0FA0">
            <w:pPr>
              <w:autoSpaceDE w:val="0"/>
              <w:autoSpaceDN w:val="0"/>
              <w:snapToGrid w:val="0"/>
              <w:jc w:val="left"/>
              <w:rPr>
                <w:rFonts w:ascii="宋体" w:hAnsi="宋体" w:cs="宋体"/>
                <w:color w:val="000000" w:themeColor="text1"/>
                <w:sz w:val="24"/>
                <w14:textFill>
                  <w14:solidFill>
                    <w14:schemeClr w14:val="tx1"/>
                  </w14:solidFill>
                </w14:textFill>
              </w:rPr>
            </w:pPr>
          </w:p>
        </w:tc>
      </w:tr>
      <w:tr w14:paraId="73A1B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98" w:hRule="exact"/>
          <w:jc w:val="center"/>
        </w:trPr>
        <w:tc>
          <w:tcPr>
            <w:tcW w:w="857" w:type="dxa"/>
          </w:tcPr>
          <w:p w14:paraId="32A0A340">
            <w:pPr>
              <w:autoSpaceDE w:val="0"/>
              <w:autoSpaceDN w:val="0"/>
              <w:snapToGrid w:val="0"/>
              <w:spacing w:before="248" w:line="263" w:lineRule="exact"/>
              <w:ind w:left="197"/>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序号</w:t>
            </w:r>
          </w:p>
        </w:tc>
        <w:tc>
          <w:tcPr>
            <w:tcW w:w="870" w:type="dxa"/>
          </w:tcPr>
          <w:p w14:paraId="0C17D732">
            <w:pPr>
              <w:autoSpaceDE w:val="0"/>
              <w:autoSpaceDN w:val="0"/>
              <w:snapToGrid w:val="0"/>
              <w:spacing w:before="248" w:line="263" w:lineRule="exact"/>
              <w:ind w:left="204"/>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姓名</w:t>
            </w:r>
          </w:p>
        </w:tc>
        <w:tc>
          <w:tcPr>
            <w:tcW w:w="1028" w:type="dxa"/>
          </w:tcPr>
          <w:p w14:paraId="1072B016">
            <w:pPr>
              <w:autoSpaceDE w:val="0"/>
              <w:autoSpaceDN w:val="0"/>
              <w:snapToGrid w:val="0"/>
              <w:spacing w:before="248" w:line="263" w:lineRule="exact"/>
              <w:ind w:left="279"/>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性别</w:t>
            </w:r>
          </w:p>
        </w:tc>
        <w:tc>
          <w:tcPr>
            <w:tcW w:w="1323" w:type="dxa"/>
          </w:tcPr>
          <w:p w14:paraId="1FA76276">
            <w:pPr>
              <w:autoSpaceDE w:val="0"/>
              <w:autoSpaceDN w:val="0"/>
              <w:snapToGrid w:val="0"/>
              <w:spacing w:before="248" w:line="263" w:lineRule="exact"/>
              <w:ind w:left="211"/>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出生日期</w:t>
            </w:r>
          </w:p>
        </w:tc>
        <w:tc>
          <w:tcPr>
            <w:tcW w:w="965" w:type="dxa"/>
          </w:tcPr>
          <w:p w14:paraId="18434AD8">
            <w:pPr>
              <w:autoSpaceDE w:val="0"/>
              <w:autoSpaceDN w:val="0"/>
              <w:snapToGrid w:val="0"/>
              <w:spacing w:before="248" w:line="263" w:lineRule="exact"/>
              <w:ind w:left="247"/>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学历</w:t>
            </w:r>
          </w:p>
        </w:tc>
        <w:tc>
          <w:tcPr>
            <w:tcW w:w="945" w:type="dxa"/>
          </w:tcPr>
          <w:p w14:paraId="65021F1E">
            <w:pPr>
              <w:autoSpaceDE w:val="0"/>
              <w:autoSpaceDN w:val="0"/>
              <w:snapToGrid w:val="0"/>
              <w:spacing w:before="248" w:line="263" w:lineRule="exact"/>
              <w:ind w:left="237"/>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专业</w:t>
            </w:r>
          </w:p>
        </w:tc>
        <w:tc>
          <w:tcPr>
            <w:tcW w:w="1321" w:type="dxa"/>
          </w:tcPr>
          <w:p w14:paraId="48CF42D1">
            <w:pPr>
              <w:autoSpaceDE w:val="0"/>
              <w:autoSpaceDN w:val="0"/>
              <w:snapToGrid w:val="0"/>
              <w:spacing w:before="248" w:line="263" w:lineRule="exact"/>
              <w:ind w:left="209"/>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技术职称</w:t>
            </w:r>
          </w:p>
        </w:tc>
        <w:tc>
          <w:tcPr>
            <w:tcW w:w="1910" w:type="dxa"/>
          </w:tcPr>
          <w:p w14:paraId="48B365C9">
            <w:pPr>
              <w:autoSpaceDE w:val="0"/>
              <w:autoSpaceDN w:val="0"/>
              <w:snapToGrid w:val="0"/>
              <w:spacing w:before="75" w:line="263" w:lineRule="exact"/>
              <w:ind w:left="177"/>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在本项目中主要</w:t>
            </w:r>
          </w:p>
          <w:p w14:paraId="691B87B7">
            <w:pPr>
              <w:autoSpaceDE w:val="0"/>
              <w:autoSpaceDN w:val="0"/>
              <w:snapToGrid w:val="0"/>
              <w:spacing w:before="83" w:line="263" w:lineRule="exact"/>
              <w:ind w:left="494"/>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负责工作</w:t>
            </w:r>
          </w:p>
        </w:tc>
      </w:tr>
      <w:tr w14:paraId="22B19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7" w:hRule="exact"/>
          <w:jc w:val="center"/>
        </w:trPr>
        <w:tc>
          <w:tcPr>
            <w:tcW w:w="857" w:type="dxa"/>
          </w:tcPr>
          <w:p w14:paraId="5C8028CE">
            <w:pPr>
              <w:autoSpaceDE w:val="0"/>
              <w:autoSpaceDN w:val="0"/>
              <w:snapToGrid w:val="0"/>
              <w:spacing w:before="152"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p>
        </w:tc>
        <w:tc>
          <w:tcPr>
            <w:tcW w:w="870" w:type="dxa"/>
          </w:tcPr>
          <w:p w14:paraId="2AD2E3E9">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476E0E29">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2E69C82C">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1BA6F968">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0AEB555A">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1E825449">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39FF1C3F">
            <w:pPr>
              <w:autoSpaceDE w:val="0"/>
              <w:autoSpaceDN w:val="0"/>
              <w:snapToGrid w:val="0"/>
              <w:jc w:val="left"/>
              <w:rPr>
                <w:rFonts w:ascii="宋体" w:hAnsi="宋体" w:cs="宋体"/>
                <w:color w:val="000000" w:themeColor="text1"/>
                <w:sz w:val="24"/>
                <w14:textFill>
                  <w14:solidFill>
                    <w14:schemeClr w14:val="tx1"/>
                  </w14:solidFill>
                </w14:textFill>
              </w:rPr>
            </w:pPr>
          </w:p>
        </w:tc>
      </w:tr>
      <w:tr w14:paraId="271B62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4" w:hRule="exact"/>
          <w:jc w:val="center"/>
        </w:trPr>
        <w:tc>
          <w:tcPr>
            <w:tcW w:w="857" w:type="dxa"/>
          </w:tcPr>
          <w:p w14:paraId="42C1702D">
            <w:pPr>
              <w:autoSpaceDE w:val="0"/>
              <w:autoSpaceDN w:val="0"/>
              <w:snapToGrid w:val="0"/>
              <w:spacing w:before="207"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w:t>
            </w:r>
          </w:p>
        </w:tc>
        <w:tc>
          <w:tcPr>
            <w:tcW w:w="870" w:type="dxa"/>
          </w:tcPr>
          <w:p w14:paraId="40EE047F">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562444F2">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02D7FA07">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444349BC">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23A8CF25">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702B9CD6">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0C282ECA">
            <w:pPr>
              <w:autoSpaceDE w:val="0"/>
              <w:autoSpaceDN w:val="0"/>
              <w:snapToGrid w:val="0"/>
              <w:jc w:val="left"/>
              <w:rPr>
                <w:rFonts w:ascii="宋体" w:hAnsi="宋体" w:cs="宋体"/>
                <w:color w:val="000000" w:themeColor="text1"/>
                <w:sz w:val="24"/>
                <w14:textFill>
                  <w14:solidFill>
                    <w14:schemeClr w14:val="tx1"/>
                  </w14:solidFill>
                </w14:textFill>
              </w:rPr>
            </w:pPr>
          </w:p>
        </w:tc>
      </w:tr>
      <w:tr w14:paraId="0EEA0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24" w:hRule="exact"/>
          <w:jc w:val="center"/>
        </w:trPr>
        <w:tc>
          <w:tcPr>
            <w:tcW w:w="857" w:type="dxa"/>
          </w:tcPr>
          <w:p w14:paraId="12698D8E">
            <w:pPr>
              <w:autoSpaceDE w:val="0"/>
              <w:autoSpaceDN w:val="0"/>
              <w:snapToGrid w:val="0"/>
              <w:spacing w:before="210"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3</w:t>
            </w:r>
          </w:p>
        </w:tc>
        <w:tc>
          <w:tcPr>
            <w:tcW w:w="870" w:type="dxa"/>
          </w:tcPr>
          <w:p w14:paraId="2E06854A">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38AE0BF7">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4231EA62">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27461161">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2308A8A5">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6308DF05">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7B19CF26">
            <w:pPr>
              <w:autoSpaceDE w:val="0"/>
              <w:autoSpaceDN w:val="0"/>
              <w:snapToGrid w:val="0"/>
              <w:jc w:val="left"/>
              <w:rPr>
                <w:rFonts w:ascii="宋体" w:hAnsi="宋体" w:cs="宋体"/>
                <w:color w:val="000000" w:themeColor="text1"/>
                <w:sz w:val="24"/>
                <w14:textFill>
                  <w14:solidFill>
                    <w14:schemeClr w14:val="tx1"/>
                  </w14:solidFill>
                </w14:textFill>
              </w:rPr>
            </w:pPr>
          </w:p>
        </w:tc>
      </w:tr>
      <w:tr w14:paraId="1E864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28" w:hRule="exact"/>
          <w:jc w:val="center"/>
        </w:trPr>
        <w:tc>
          <w:tcPr>
            <w:tcW w:w="857" w:type="dxa"/>
          </w:tcPr>
          <w:p w14:paraId="70A669E7">
            <w:pPr>
              <w:autoSpaceDE w:val="0"/>
              <w:autoSpaceDN w:val="0"/>
              <w:snapToGrid w:val="0"/>
              <w:spacing w:before="212"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4</w:t>
            </w:r>
          </w:p>
        </w:tc>
        <w:tc>
          <w:tcPr>
            <w:tcW w:w="870" w:type="dxa"/>
          </w:tcPr>
          <w:p w14:paraId="6CE31B28">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2FB01BDC">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094FCBA8">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6BCEAE77">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4BE0C0ED">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74E11907">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3BBAE4AB">
            <w:pPr>
              <w:autoSpaceDE w:val="0"/>
              <w:autoSpaceDN w:val="0"/>
              <w:snapToGrid w:val="0"/>
              <w:jc w:val="left"/>
              <w:rPr>
                <w:rFonts w:ascii="宋体" w:hAnsi="宋体" w:cs="宋体"/>
                <w:color w:val="000000" w:themeColor="text1"/>
                <w:sz w:val="24"/>
                <w14:textFill>
                  <w14:solidFill>
                    <w14:schemeClr w14:val="tx1"/>
                  </w14:solidFill>
                </w14:textFill>
              </w:rPr>
            </w:pPr>
          </w:p>
        </w:tc>
      </w:tr>
      <w:tr w14:paraId="41071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09" w:hRule="exact"/>
          <w:jc w:val="center"/>
        </w:trPr>
        <w:tc>
          <w:tcPr>
            <w:tcW w:w="857" w:type="dxa"/>
          </w:tcPr>
          <w:p w14:paraId="7BC0C72A">
            <w:pPr>
              <w:autoSpaceDE w:val="0"/>
              <w:autoSpaceDN w:val="0"/>
              <w:snapToGrid w:val="0"/>
              <w:spacing w:before="205"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5</w:t>
            </w:r>
          </w:p>
        </w:tc>
        <w:tc>
          <w:tcPr>
            <w:tcW w:w="870" w:type="dxa"/>
          </w:tcPr>
          <w:p w14:paraId="2D958A21">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1CD0A30E">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3219D624">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5A77E84C">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267156A8">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23BD4B39">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21081DEF">
            <w:pPr>
              <w:autoSpaceDE w:val="0"/>
              <w:autoSpaceDN w:val="0"/>
              <w:snapToGrid w:val="0"/>
              <w:jc w:val="left"/>
              <w:rPr>
                <w:rFonts w:ascii="宋体" w:hAnsi="宋体" w:cs="宋体"/>
                <w:color w:val="000000" w:themeColor="text1"/>
                <w:sz w:val="24"/>
                <w14:textFill>
                  <w14:solidFill>
                    <w14:schemeClr w14:val="tx1"/>
                  </w14:solidFill>
                </w14:textFill>
              </w:rPr>
            </w:pPr>
          </w:p>
        </w:tc>
      </w:tr>
      <w:tr w14:paraId="0D6AB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31" w:hRule="exact"/>
          <w:jc w:val="center"/>
        </w:trPr>
        <w:tc>
          <w:tcPr>
            <w:tcW w:w="857" w:type="dxa"/>
          </w:tcPr>
          <w:p w14:paraId="6F0A97D0">
            <w:pPr>
              <w:autoSpaceDE w:val="0"/>
              <w:autoSpaceDN w:val="0"/>
              <w:snapToGrid w:val="0"/>
              <w:spacing w:before="215"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6</w:t>
            </w:r>
          </w:p>
        </w:tc>
        <w:tc>
          <w:tcPr>
            <w:tcW w:w="870" w:type="dxa"/>
          </w:tcPr>
          <w:p w14:paraId="7398E48B">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5FB87569">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0BAC443C">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024D177F">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5851F533">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672E151F">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34FE3E4F">
            <w:pPr>
              <w:autoSpaceDE w:val="0"/>
              <w:autoSpaceDN w:val="0"/>
              <w:snapToGrid w:val="0"/>
              <w:jc w:val="left"/>
              <w:rPr>
                <w:rFonts w:ascii="宋体" w:hAnsi="宋体" w:cs="宋体"/>
                <w:color w:val="000000" w:themeColor="text1"/>
                <w:sz w:val="24"/>
                <w14:textFill>
                  <w14:solidFill>
                    <w14:schemeClr w14:val="tx1"/>
                  </w14:solidFill>
                </w14:textFill>
              </w:rPr>
            </w:pPr>
          </w:p>
        </w:tc>
      </w:tr>
      <w:tr w14:paraId="5BAD7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1" w:hRule="exact"/>
          <w:jc w:val="center"/>
        </w:trPr>
        <w:tc>
          <w:tcPr>
            <w:tcW w:w="857" w:type="dxa"/>
          </w:tcPr>
          <w:p w14:paraId="2C70A2C1">
            <w:pPr>
              <w:autoSpaceDE w:val="0"/>
              <w:autoSpaceDN w:val="0"/>
              <w:snapToGrid w:val="0"/>
              <w:spacing w:before="205"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7</w:t>
            </w:r>
          </w:p>
        </w:tc>
        <w:tc>
          <w:tcPr>
            <w:tcW w:w="870" w:type="dxa"/>
          </w:tcPr>
          <w:p w14:paraId="003306D2">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5C804580">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0AD7AA76">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64D76F5F">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0C56F9D0">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662925D4">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720525BE">
            <w:pPr>
              <w:autoSpaceDE w:val="0"/>
              <w:autoSpaceDN w:val="0"/>
              <w:snapToGrid w:val="0"/>
              <w:jc w:val="left"/>
              <w:rPr>
                <w:rFonts w:ascii="宋体" w:hAnsi="宋体" w:cs="宋体"/>
                <w:color w:val="000000" w:themeColor="text1"/>
                <w:sz w:val="24"/>
                <w14:textFill>
                  <w14:solidFill>
                    <w14:schemeClr w14:val="tx1"/>
                  </w14:solidFill>
                </w14:textFill>
              </w:rPr>
            </w:pPr>
          </w:p>
        </w:tc>
      </w:tr>
      <w:tr w14:paraId="02764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88" w:hRule="exact"/>
          <w:jc w:val="center"/>
        </w:trPr>
        <w:tc>
          <w:tcPr>
            <w:tcW w:w="857" w:type="dxa"/>
          </w:tcPr>
          <w:p w14:paraId="511DC41F">
            <w:pPr>
              <w:autoSpaceDE w:val="0"/>
              <w:autoSpaceDN w:val="0"/>
              <w:snapToGrid w:val="0"/>
              <w:spacing w:before="138" w:line="263" w:lineRule="exact"/>
              <w:ind w:left="355"/>
              <w:jc w:val="lef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8</w:t>
            </w:r>
          </w:p>
        </w:tc>
        <w:tc>
          <w:tcPr>
            <w:tcW w:w="870" w:type="dxa"/>
          </w:tcPr>
          <w:p w14:paraId="7C113264">
            <w:pPr>
              <w:autoSpaceDE w:val="0"/>
              <w:autoSpaceDN w:val="0"/>
              <w:snapToGrid w:val="0"/>
              <w:jc w:val="left"/>
              <w:rPr>
                <w:rFonts w:ascii="宋体" w:hAnsi="宋体" w:cs="宋体"/>
                <w:color w:val="000000" w:themeColor="text1"/>
                <w:sz w:val="24"/>
                <w14:textFill>
                  <w14:solidFill>
                    <w14:schemeClr w14:val="tx1"/>
                  </w14:solidFill>
                </w14:textFill>
              </w:rPr>
            </w:pPr>
          </w:p>
        </w:tc>
        <w:tc>
          <w:tcPr>
            <w:tcW w:w="1028" w:type="dxa"/>
          </w:tcPr>
          <w:p w14:paraId="52B3C935">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3" w:type="dxa"/>
          </w:tcPr>
          <w:p w14:paraId="0FC364FC">
            <w:pPr>
              <w:autoSpaceDE w:val="0"/>
              <w:autoSpaceDN w:val="0"/>
              <w:snapToGrid w:val="0"/>
              <w:jc w:val="left"/>
              <w:rPr>
                <w:rFonts w:ascii="宋体" w:hAnsi="宋体" w:cs="宋体"/>
                <w:color w:val="000000" w:themeColor="text1"/>
                <w:sz w:val="24"/>
                <w14:textFill>
                  <w14:solidFill>
                    <w14:schemeClr w14:val="tx1"/>
                  </w14:solidFill>
                </w14:textFill>
              </w:rPr>
            </w:pPr>
          </w:p>
        </w:tc>
        <w:tc>
          <w:tcPr>
            <w:tcW w:w="965" w:type="dxa"/>
          </w:tcPr>
          <w:p w14:paraId="50E73A0E">
            <w:pPr>
              <w:autoSpaceDE w:val="0"/>
              <w:autoSpaceDN w:val="0"/>
              <w:snapToGrid w:val="0"/>
              <w:jc w:val="left"/>
              <w:rPr>
                <w:rFonts w:ascii="宋体" w:hAnsi="宋体" w:cs="宋体"/>
                <w:color w:val="000000" w:themeColor="text1"/>
                <w:sz w:val="24"/>
                <w14:textFill>
                  <w14:solidFill>
                    <w14:schemeClr w14:val="tx1"/>
                  </w14:solidFill>
                </w14:textFill>
              </w:rPr>
            </w:pPr>
          </w:p>
        </w:tc>
        <w:tc>
          <w:tcPr>
            <w:tcW w:w="945" w:type="dxa"/>
          </w:tcPr>
          <w:p w14:paraId="40D7F53B">
            <w:pPr>
              <w:autoSpaceDE w:val="0"/>
              <w:autoSpaceDN w:val="0"/>
              <w:snapToGrid w:val="0"/>
              <w:jc w:val="left"/>
              <w:rPr>
                <w:rFonts w:ascii="宋体" w:hAnsi="宋体" w:cs="宋体"/>
                <w:color w:val="000000" w:themeColor="text1"/>
                <w:sz w:val="24"/>
                <w14:textFill>
                  <w14:solidFill>
                    <w14:schemeClr w14:val="tx1"/>
                  </w14:solidFill>
                </w14:textFill>
              </w:rPr>
            </w:pPr>
          </w:p>
        </w:tc>
        <w:tc>
          <w:tcPr>
            <w:tcW w:w="1321" w:type="dxa"/>
          </w:tcPr>
          <w:p w14:paraId="7C911541">
            <w:pPr>
              <w:autoSpaceDE w:val="0"/>
              <w:autoSpaceDN w:val="0"/>
              <w:snapToGrid w:val="0"/>
              <w:jc w:val="left"/>
              <w:rPr>
                <w:rFonts w:ascii="宋体" w:hAnsi="宋体" w:cs="宋体"/>
                <w:color w:val="000000" w:themeColor="text1"/>
                <w:sz w:val="24"/>
                <w14:textFill>
                  <w14:solidFill>
                    <w14:schemeClr w14:val="tx1"/>
                  </w14:solidFill>
                </w14:textFill>
              </w:rPr>
            </w:pPr>
          </w:p>
        </w:tc>
        <w:tc>
          <w:tcPr>
            <w:tcW w:w="1910" w:type="dxa"/>
          </w:tcPr>
          <w:p w14:paraId="2BB78A71">
            <w:pPr>
              <w:autoSpaceDE w:val="0"/>
              <w:autoSpaceDN w:val="0"/>
              <w:snapToGrid w:val="0"/>
              <w:jc w:val="left"/>
              <w:rPr>
                <w:rFonts w:ascii="宋体" w:hAnsi="宋体" w:cs="宋体"/>
                <w:color w:val="000000" w:themeColor="text1"/>
                <w:sz w:val="24"/>
                <w14:textFill>
                  <w14:solidFill>
                    <w14:schemeClr w14:val="tx1"/>
                  </w14:solidFill>
                </w14:textFill>
              </w:rPr>
            </w:pPr>
          </w:p>
        </w:tc>
      </w:tr>
    </w:tbl>
    <w:p w14:paraId="0D754156">
      <w:pPr>
        <w:rPr>
          <w:rFonts w:ascii="宋体" w:hAnsi="宋体" w:cs="宋体"/>
          <w:color w:val="000000" w:themeColor="text1"/>
          <w:sz w:val="24"/>
          <w:lang w:val="zh-CN"/>
          <w14:textFill>
            <w14:solidFill>
              <w14:schemeClr w14:val="tx1"/>
            </w14:solidFill>
          </w14:textFill>
        </w:rPr>
      </w:pPr>
      <w:r>
        <w:rPr>
          <w:rFonts w:hint="eastAsia" w:ascii="宋体" w:hAnsi="宋体" w:cs="宋体"/>
          <w:color w:val="000000" w:themeColor="text1"/>
          <w:sz w:val="24"/>
          <w:lang w:val="zh-CN"/>
          <w14:textFill>
            <w14:solidFill>
              <w14:schemeClr w14:val="tx1"/>
            </w14:solidFill>
          </w14:textFill>
        </w:rPr>
        <w:t>注：</w:t>
      </w:r>
    </w:p>
    <w:p w14:paraId="3C8C9F93">
      <w:pPr>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1、提供相关人员</w:t>
      </w:r>
      <w:r>
        <w:rPr>
          <w:rFonts w:hint="eastAsia" w:ascii="宋体" w:hAnsi="宋体" w:cs="宋体"/>
          <w:bCs/>
          <w:color w:val="000000" w:themeColor="text1"/>
          <w:sz w:val="24"/>
          <w:lang w:val="en-US" w:eastAsia="zh-CN"/>
          <w14:textFill>
            <w14:solidFill>
              <w14:schemeClr w14:val="tx1"/>
            </w14:solidFill>
          </w14:textFill>
        </w:rPr>
        <w:t>的</w:t>
      </w:r>
      <w:r>
        <w:rPr>
          <w:rFonts w:hint="eastAsia" w:ascii="宋体" w:hAnsi="宋体" w:cs="宋体"/>
          <w:bCs/>
          <w:color w:val="000000" w:themeColor="text1"/>
          <w:sz w:val="24"/>
          <w14:textFill>
            <w14:solidFill>
              <w14:schemeClr w14:val="tx1"/>
            </w14:solidFill>
          </w14:textFill>
        </w:rPr>
        <w:t>证明材料，提供的人员须是本单位在职人员。</w:t>
      </w:r>
    </w:p>
    <w:p w14:paraId="1D7D7AF6">
      <w:pPr>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2、未提供证明材料或工作人员专业与本项目无关的不计入有效范围。</w:t>
      </w:r>
    </w:p>
    <w:p w14:paraId="3D392130">
      <w:pPr>
        <w:outlineLvl w:val="2"/>
        <w:rPr>
          <w:rFonts w:ascii="宋体" w:hAnsi="宋体" w:cs="宋体"/>
          <w:bCs/>
          <w:color w:val="000000" w:themeColor="text1"/>
          <w:sz w:val="24"/>
          <w14:textFill>
            <w14:solidFill>
              <w14:schemeClr w14:val="tx1"/>
            </w14:solidFill>
          </w14:textFill>
        </w:rPr>
      </w:pPr>
      <w:bookmarkStart w:id="422" w:name="_Toc12581"/>
      <w:r>
        <w:rPr>
          <w:rFonts w:hint="eastAsia" w:ascii="宋体" w:hAnsi="宋体" w:cs="宋体"/>
          <w:bCs/>
          <w:color w:val="000000" w:themeColor="text1"/>
          <w:sz w:val="24"/>
          <w14:textFill>
            <w14:solidFill>
              <w14:schemeClr w14:val="tx1"/>
            </w14:solidFill>
          </w14:textFill>
        </w:rPr>
        <w:t>3、供应商可根据实际情况增加行数。</w:t>
      </w:r>
      <w:bookmarkEnd w:id="422"/>
    </w:p>
    <w:p w14:paraId="587A00B7">
      <w:pPr>
        <w:rPr>
          <w:b/>
          <w:szCs w:val="28"/>
        </w:rPr>
      </w:pPr>
      <w:r>
        <w:rPr>
          <w:bCs/>
          <w:color w:val="000000" w:themeColor="text1"/>
          <w:sz w:val="24"/>
          <w:szCs w:val="28"/>
          <w14:textFill>
            <w14:solidFill>
              <w14:schemeClr w14:val="tx1"/>
            </w14:solidFill>
          </w14:textFill>
        </w:rPr>
        <w:br w:type="page"/>
      </w:r>
      <w:bookmarkStart w:id="423" w:name="_Toc23158"/>
      <w:bookmarkStart w:id="424" w:name="_Toc19317"/>
      <w:r>
        <w:rPr>
          <w:rStyle w:val="87"/>
          <w:rFonts w:hint="eastAsia"/>
          <w:b/>
          <w:sz w:val="32"/>
        </w:rPr>
        <w:t>格式</w:t>
      </w:r>
      <w:r>
        <w:rPr>
          <w:rStyle w:val="87"/>
          <w:b/>
          <w:sz w:val="32"/>
        </w:rPr>
        <w:t>1</w:t>
      </w:r>
      <w:r>
        <w:rPr>
          <w:rStyle w:val="87"/>
          <w:rFonts w:hint="eastAsia"/>
          <w:b/>
          <w:sz w:val="32"/>
          <w:lang w:val="en-US" w:eastAsia="zh-CN"/>
        </w:rPr>
        <w:t>6</w:t>
      </w:r>
      <w:r>
        <w:rPr>
          <w:rStyle w:val="87"/>
          <w:rFonts w:hint="eastAsia"/>
          <w:b/>
          <w:sz w:val="32"/>
        </w:rPr>
        <w:t>、</w:t>
      </w:r>
      <w:bookmarkEnd w:id="415"/>
      <w:bookmarkEnd w:id="416"/>
      <w:bookmarkEnd w:id="417"/>
      <w:r>
        <w:rPr>
          <w:rStyle w:val="87"/>
          <w:rFonts w:hint="eastAsia"/>
          <w:b/>
          <w:sz w:val="32"/>
        </w:rPr>
        <w:t>服务方案</w:t>
      </w:r>
      <w:bookmarkEnd w:id="423"/>
      <w:bookmarkEnd w:id="424"/>
    </w:p>
    <w:p w14:paraId="4E0006EE">
      <w:pPr>
        <w:ind w:firstLine="2909" w:firstLineChars="805"/>
        <w:rPr>
          <w:rFonts w:ascii="宋体" w:hAnsi="宋体"/>
          <w:b/>
          <w:sz w:val="36"/>
          <w:szCs w:val="36"/>
        </w:rPr>
      </w:pPr>
    </w:p>
    <w:p w14:paraId="6AB50F15">
      <w:pPr>
        <w:ind w:firstLine="177" w:firstLineChars="55"/>
        <w:jc w:val="center"/>
        <w:rPr>
          <w:rFonts w:ascii="宋体" w:hAnsi="宋体"/>
          <w:b/>
          <w:sz w:val="32"/>
          <w:szCs w:val="36"/>
        </w:rPr>
      </w:pPr>
      <w:r>
        <w:rPr>
          <w:rFonts w:hint="eastAsia" w:ascii="宋体" w:hAnsi="宋体"/>
          <w:b/>
          <w:sz w:val="32"/>
          <w:szCs w:val="36"/>
        </w:rPr>
        <w:t>服务方案</w:t>
      </w:r>
    </w:p>
    <w:p w14:paraId="6D3096CC">
      <w:pPr>
        <w:spacing w:line="360" w:lineRule="auto"/>
        <w:ind w:firstLine="482"/>
        <w:rPr>
          <w:rFonts w:hint="eastAsia" w:hAnsi="宋体"/>
          <w:bCs/>
          <w:sz w:val="24"/>
        </w:rPr>
      </w:pPr>
      <w:bookmarkStart w:id="425" w:name="_Toc14744"/>
      <w:r>
        <w:rPr>
          <w:rFonts w:hint="eastAsia" w:hAnsi="宋体"/>
          <w:bCs/>
          <w:sz w:val="24"/>
        </w:rPr>
        <w:t>（格式自拟）</w:t>
      </w:r>
    </w:p>
    <w:p w14:paraId="1524BCE1">
      <w:pPr>
        <w:bidi w:val="0"/>
        <w:rPr>
          <w:rFonts w:hAnsi="宋体"/>
          <w:bCs/>
          <w:sz w:val="24"/>
          <w:szCs w:val="28"/>
        </w:rPr>
      </w:pPr>
    </w:p>
    <w:p w14:paraId="234C122A">
      <w:pPr>
        <w:bidi w:val="0"/>
        <w:rPr>
          <w:rFonts w:hAnsi="宋体"/>
          <w:bCs/>
          <w:sz w:val="24"/>
          <w:szCs w:val="28"/>
        </w:rPr>
      </w:pPr>
    </w:p>
    <w:p w14:paraId="3368AB0B">
      <w:pPr>
        <w:bidi w:val="0"/>
        <w:rPr>
          <w:rFonts w:hAnsi="宋体"/>
          <w:bCs/>
          <w:sz w:val="24"/>
          <w:szCs w:val="28"/>
        </w:rPr>
      </w:pPr>
    </w:p>
    <w:p w14:paraId="6D70329B">
      <w:pPr>
        <w:bidi w:val="0"/>
        <w:rPr>
          <w:rFonts w:hAnsi="宋体"/>
          <w:bCs/>
          <w:sz w:val="24"/>
          <w:szCs w:val="28"/>
        </w:rPr>
      </w:pPr>
    </w:p>
    <w:p w14:paraId="7F8ED53E">
      <w:pPr>
        <w:bidi w:val="0"/>
        <w:rPr>
          <w:rFonts w:hAnsi="宋体"/>
          <w:bCs/>
          <w:sz w:val="24"/>
          <w:szCs w:val="28"/>
        </w:rPr>
      </w:pPr>
    </w:p>
    <w:p w14:paraId="4E4F6942">
      <w:pPr>
        <w:bidi w:val="0"/>
        <w:rPr>
          <w:rFonts w:hAnsi="宋体"/>
          <w:bCs/>
          <w:sz w:val="24"/>
          <w:szCs w:val="28"/>
        </w:rPr>
      </w:pPr>
    </w:p>
    <w:p w14:paraId="7C49A73F">
      <w:pPr>
        <w:bidi w:val="0"/>
        <w:rPr>
          <w:rFonts w:hAnsi="宋体"/>
          <w:bCs/>
          <w:sz w:val="24"/>
          <w:szCs w:val="28"/>
        </w:rPr>
      </w:pPr>
    </w:p>
    <w:p w14:paraId="3A2B991A">
      <w:pPr>
        <w:bidi w:val="0"/>
        <w:rPr>
          <w:rFonts w:hAnsi="宋体"/>
          <w:bCs/>
          <w:sz w:val="24"/>
          <w:szCs w:val="28"/>
        </w:rPr>
      </w:pPr>
    </w:p>
    <w:p w14:paraId="67C1FDC4">
      <w:pPr>
        <w:bidi w:val="0"/>
        <w:rPr>
          <w:rFonts w:hAnsi="宋体"/>
          <w:bCs/>
          <w:sz w:val="24"/>
          <w:szCs w:val="28"/>
        </w:rPr>
      </w:pPr>
    </w:p>
    <w:p w14:paraId="6E06C0C9">
      <w:pPr>
        <w:bidi w:val="0"/>
        <w:rPr>
          <w:rFonts w:hAnsi="宋体"/>
          <w:bCs/>
          <w:sz w:val="24"/>
          <w:szCs w:val="28"/>
        </w:rPr>
      </w:pPr>
    </w:p>
    <w:p w14:paraId="725FA4D0">
      <w:pPr>
        <w:bidi w:val="0"/>
        <w:rPr>
          <w:rFonts w:hAnsi="宋体"/>
          <w:bCs/>
          <w:sz w:val="24"/>
          <w:szCs w:val="28"/>
        </w:rPr>
      </w:pPr>
    </w:p>
    <w:p w14:paraId="3ABDF5D3">
      <w:pPr>
        <w:bidi w:val="0"/>
        <w:rPr>
          <w:rFonts w:hAnsi="宋体"/>
          <w:bCs/>
          <w:sz w:val="24"/>
          <w:szCs w:val="28"/>
        </w:rPr>
      </w:pPr>
    </w:p>
    <w:p w14:paraId="254AC344">
      <w:pPr>
        <w:bidi w:val="0"/>
        <w:rPr>
          <w:rFonts w:hAnsi="宋体"/>
          <w:bCs/>
          <w:sz w:val="24"/>
          <w:szCs w:val="28"/>
        </w:rPr>
      </w:pPr>
    </w:p>
    <w:p w14:paraId="66AE79CF">
      <w:pPr>
        <w:bidi w:val="0"/>
        <w:rPr>
          <w:rFonts w:hAnsi="宋体"/>
          <w:bCs/>
          <w:sz w:val="24"/>
          <w:szCs w:val="28"/>
        </w:rPr>
      </w:pPr>
    </w:p>
    <w:p w14:paraId="089291FE">
      <w:pPr>
        <w:bidi w:val="0"/>
        <w:rPr>
          <w:rFonts w:hAnsi="宋体"/>
          <w:bCs/>
          <w:sz w:val="24"/>
          <w:szCs w:val="28"/>
        </w:rPr>
      </w:pPr>
    </w:p>
    <w:p w14:paraId="44F7635C">
      <w:pPr>
        <w:bidi w:val="0"/>
        <w:rPr>
          <w:rFonts w:hAnsi="宋体"/>
          <w:bCs/>
          <w:sz w:val="24"/>
          <w:szCs w:val="28"/>
        </w:rPr>
      </w:pPr>
    </w:p>
    <w:p w14:paraId="2908E3EE">
      <w:pPr>
        <w:bidi w:val="0"/>
        <w:rPr>
          <w:rFonts w:hAnsi="宋体"/>
          <w:bCs/>
          <w:sz w:val="24"/>
          <w:szCs w:val="28"/>
        </w:rPr>
      </w:pPr>
    </w:p>
    <w:p w14:paraId="23CB67CC">
      <w:pPr>
        <w:bidi w:val="0"/>
        <w:rPr>
          <w:rFonts w:hAnsi="宋体"/>
          <w:bCs/>
          <w:sz w:val="24"/>
          <w:szCs w:val="28"/>
        </w:rPr>
      </w:pPr>
    </w:p>
    <w:p w14:paraId="1626700D">
      <w:pPr>
        <w:bidi w:val="0"/>
        <w:rPr>
          <w:rFonts w:hAnsi="宋体"/>
          <w:bCs/>
          <w:sz w:val="24"/>
          <w:szCs w:val="28"/>
        </w:rPr>
      </w:pPr>
    </w:p>
    <w:p w14:paraId="15BA674C">
      <w:pPr>
        <w:bidi w:val="0"/>
        <w:jc w:val="left"/>
        <w:rPr>
          <w:rFonts w:hAnsi="宋体"/>
          <w:bCs/>
          <w:sz w:val="24"/>
          <w:szCs w:val="28"/>
        </w:rPr>
        <w:sectPr>
          <w:pgSz w:w="11906" w:h="16838"/>
          <w:pgMar w:top="1440" w:right="1080" w:bottom="1440" w:left="1080" w:header="567" w:footer="567" w:gutter="0"/>
          <w:pgNumType w:fmt="decimal"/>
          <w:cols w:space="720" w:num="1"/>
          <w:titlePg/>
          <w:docGrid w:linePitch="312" w:charSpace="0"/>
        </w:sectPr>
      </w:pPr>
    </w:p>
    <w:p w14:paraId="7C2DA079">
      <w:pPr>
        <w:rPr>
          <w:rStyle w:val="87"/>
          <w:rFonts w:hint="eastAsia" w:ascii="宋体" w:hAnsi="Times New Roman" w:eastAsia="宋体" w:cs="Times New Roman"/>
          <w:b/>
          <w:sz w:val="32"/>
        </w:rPr>
      </w:pPr>
      <w:bookmarkStart w:id="426" w:name="_Toc30882"/>
      <w:r>
        <w:rPr>
          <w:rStyle w:val="87"/>
          <w:rFonts w:hint="eastAsia" w:ascii="宋体" w:hAnsi="Times New Roman" w:eastAsia="宋体" w:cs="Times New Roman"/>
          <w:b/>
          <w:sz w:val="32"/>
          <w:lang w:val="zh-CN"/>
        </w:rPr>
        <w:t>格式1</w:t>
      </w:r>
      <w:r>
        <w:rPr>
          <w:rStyle w:val="87"/>
          <w:rFonts w:hint="eastAsia" w:ascii="宋体" w:hAnsi="Times New Roman" w:eastAsia="宋体" w:cs="Times New Roman"/>
          <w:b/>
          <w:sz w:val="32"/>
          <w:lang w:val="en-US" w:eastAsia="zh-CN"/>
        </w:rPr>
        <w:t>7</w:t>
      </w:r>
      <w:r>
        <w:rPr>
          <w:rStyle w:val="87"/>
          <w:rFonts w:hint="eastAsia" w:ascii="宋体" w:hAnsi="Times New Roman" w:eastAsia="宋体" w:cs="Times New Roman"/>
          <w:b/>
          <w:sz w:val="32"/>
          <w:lang w:val="zh-CN"/>
        </w:rPr>
        <w:t>、磋商供应商的类似业绩证明材料</w:t>
      </w:r>
      <w:bookmarkEnd w:id="425"/>
    </w:p>
    <w:bookmarkEnd w:id="426"/>
    <w:p w14:paraId="18349287">
      <w:pPr>
        <w:autoSpaceDE w:val="0"/>
        <w:autoSpaceDN w:val="0"/>
        <w:adjustRightInd w:val="0"/>
        <w:spacing w:line="360" w:lineRule="auto"/>
        <w:rPr>
          <w:rFonts w:ascii="宋体" w:hAnsi="宋体" w:cs="宋体"/>
          <w:kern w:val="0"/>
          <w:sz w:val="28"/>
          <w:lang w:val="zh-CN"/>
        </w:rPr>
      </w:pPr>
    </w:p>
    <w:p w14:paraId="6F416706">
      <w:pPr>
        <w:autoSpaceDE w:val="0"/>
        <w:autoSpaceDN w:val="0"/>
        <w:adjustRightInd w:val="0"/>
        <w:spacing w:line="360" w:lineRule="auto"/>
        <w:jc w:val="center"/>
        <w:rPr>
          <w:rFonts w:ascii="宋体" w:hAnsi="宋体" w:cs="宋体"/>
          <w:b/>
          <w:bCs/>
          <w:kern w:val="0"/>
          <w:sz w:val="32"/>
          <w:szCs w:val="30"/>
          <w:lang w:val="zh-CN"/>
        </w:rPr>
      </w:pPr>
      <w:r>
        <w:rPr>
          <w:rFonts w:hint="eastAsia" w:ascii="宋体" w:hAnsi="宋体" w:cs="宋体"/>
          <w:b/>
          <w:bCs/>
          <w:kern w:val="0"/>
          <w:sz w:val="32"/>
          <w:szCs w:val="30"/>
          <w:lang w:val="zh-CN"/>
        </w:rPr>
        <w:t>磋商供应商的类似业绩证明材料</w:t>
      </w:r>
    </w:p>
    <w:p w14:paraId="4F5510CC">
      <w:pPr>
        <w:autoSpaceDE w:val="0"/>
        <w:autoSpaceDN w:val="0"/>
        <w:adjustRightInd w:val="0"/>
        <w:spacing w:line="360" w:lineRule="auto"/>
        <w:rPr>
          <w:rFonts w:ascii="宋体" w:hAnsi="宋体" w:cs="宋体"/>
          <w:kern w:val="0"/>
          <w:sz w:val="24"/>
          <w:lang w:val="zh-CN"/>
        </w:rPr>
      </w:pPr>
    </w:p>
    <w:p w14:paraId="721622FF">
      <w:pPr>
        <w:autoSpaceDE w:val="0"/>
        <w:autoSpaceDN w:val="0"/>
        <w:adjustRightInd w:val="0"/>
        <w:spacing w:line="360" w:lineRule="auto"/>
        <w:ind w:firstLine="480" w:firstLineChars="200"/>
        <w:rPr>
          <w:rFonts w:ascii="宋体" w:hAnsi="宋体" w:cs="宋体"/>
          <w:kern w:val="0"/>
          <w:sz w:val="24"/>
          <w:lang w:val="zh-CN"/>
        </w:rPr>
      </w:pPr>
      <w:r>
        <w:rPr>
          <w:rFonts w:hint="eastAsia" w:ascii="宋体" w:hAnsi="宋体" w:cs="宋体"/>
          <w:kern w:val="0"/>
          <w:sz w:val="24"/>
          <w:lang w:val="zh-CN"/>
        </w:rPr>
        <w:t>根据打分表要求提供相应的业绩证明材料</w:t>
      </w:r>
      <w:r>
        <w:rPr>
          <w:rFonts w:ascii="宋体" w:hAnsi="宋体" w:cs="宋体"/>
          <w:kern w:val="0"/>
          <w:sz w:val="24"/>
          <w:lang w:val="zh-CN"/>
        </w:rPr>
        <w:t>。</w:t>
      </w:r>
    </w:p>
    <w:p w14:paraId="606E43C3">
      <w:pPr>
        <w:autoSpaceDE w:val="0"/>
        <w:autoSpaceDN w:val="0"/>
        <w:adjustRightInd w:val="0"/>
        <w:spacing w:line="360" w:lineRule="auto"/>
        <w:ind w:firstLine="480"/>
        <w:rPr>
          <w:rFonts w:ascii="宋体" w:hAnsi="宋体" w:cs="宋体"/>
          <w:kern w:val="0"/>
          <w:sz w:val="24"/>
          <w:lang w:val="zh-CN"/>
        </w:rPr>
      </w:pPr>
    </w:p>
    <w:p w14:paraId="111D6053">
      <w:pPr>
        <w:pStyle w:val="3"/>
        <w:keepNext/>
        <w:keepLines/>
        <w:numPr>
          <w:ilvl w:val="0"/>
          <w:numId w:val="0"/>
        </w:numPr>
        <w:tabs>
          <w:tab w:val="clear" w:pos="720"/>
        </w:tabs>
        <w:snapToGrid/>
        <w:ind w:left="567" w:hanging="567"/>
        <w:jc w:val="left"/>
        <w:rPr>
          <w:rFonts w:hAnsi="宋体" w:cs="宋体"/>
          <w:color w:val="000000"/>
          <w:lang w:val="zh-CN"/>
        </w:rPr>
      </w:pPr>
      <w:r>
        <w:rPr>
          <w:rFonts w:hAnsi="宋体"/>
          <w:bCs/>
          <w:sz w:val="24"/>
          <w:szCs w:val="28"/>
        </w:rPr>
        <w:br w:type="page"/>
      </w:r>
      <w:bookmarkStart w:id="427" w:name="_Toc3106"/>
      <w:bookmarkStart w:id="428" w:name="_Toc1135"/>
      <w:r>
        <w:rPr>
          <w:rStyle w:val="87"/>
          <w:rFonts w:hint="eastAsia"/>
          <w:b/>
          <w:bCs/>
          <w:sz w:val="32"/>
          <w:szCs w:val="32"/>
          <w:lang w:val="zh-CN"/>
        </w:rPr>
        <w:t>格式</w:t>
      </w:r>
      <w:r>
        <w:rPr>
          <w:rStyle w:val="87"/>
          <w:rFonts w:hint="eastAsia"/>
          <w:b/>
          <w:bCs/>
          <w:sz w:val="32"/>
          <w:szCs w:val="32"/>
          <w:lang w:val="en-US" w:eastAsia="zh-CN"/>
        </w:rPr>
        <w:t>18</w:t>
      </w:r>
      <w:r>
        <w:rPr>
          <w:rStyle w:val="87"/>
          <w:rFonts w:hint="eastAsia"/>
          <w:b/>
          <w:bCs/>
          <w:sz w:val="32"/>
          <w:szCs w:val="32"/>
          <w:lang w:val="zh-CN"/>
        </w:rPr>
        <w:t>、中小企业声明函</w:t>
      </w:r>
      <w:bookmarkEnd w:id="427"/>
      <w:bookmarkEnd w:id="428"/>
    </w:p>
    <w:p w14:paraId="6DC8108A">
      <w:pPr>
        <w:spacing w:line="360" w:lineRule="auto"/>
        <w:rPr>
          <w:rFonts w:ascii="宋体" w:hAnsi="宋体" w:cs="宋体"/>
          <w:color w:val="000000"/>
          <w:sz w:val="28"/>
          <w:szCs w:val="28"/>
          <w:lang w:val="zh-CN"/>
        </w:rPr>
      </w:pPr>
    </w:p>
    <w:p w14:paraId="5231CF16">
      <w:pPr>
        <w:jc w:val="center"/>
        <w:rPr>
          <w:rFonts w:ascii="宋体" w:hAnsi="宋体"/>
          <w:b/>
          <w:sz w:val="36"/>
          <w:szCs w:val="36"/>
        </w:rPr>
      </w:pPr>
      <w:r>
        <w:rPr>
          <w:rFonts w:hint="eastAsia" w:ascii="宋体" w:hAnsi="宋体"/>
          <w:b/>
          <w:sz w:val="36"/>
          <w:szCs w:val="36"/>
        </w:rPr>
        <w:t>中小企业声明函（服务）</w:t>
      </w:r>
    </w:p>
    <w:p w14:paraId="4C7C6FEC">
      <w:pPr>
        <w:ind w:firstLine="2367" w:firstLineChars="655"/>
        <w:rPr>
          <w:rFonts w:ascii="宋体" w:hAnsi="宋体"/>
          <w:b/>
          <w:sz w:val="36"/>
          <w:szCs w:val="36"/>
        </w:rPr>
      </w:pPr>
    </w:p>
    <w:p w14:paraId="68E094F1">
      <w:pPr>
        <w:spacing w:afterLines="50"/>
        <w:rPr>
          <w:rFonts w:ascii="宋体" w:hAnsi="宋体"/>
          <w:b/>
          <w:bCs/>
          <w:sz w:val="24"/>
          <w:szCs w:val="24"/>
        </w:rPr>
      </w:pPr>
      <w:r>
        <w:rPr>
          <w:rFonts w:hint="eastAsia" w:ascii="宋体" w:hAnsi="宋体"/>
          <w:b/>
          <w:bCs/>
          <w:sz w:val="24"/>
          <w:szCs w:val="24"/>
        </w:rPr>
        <w:t>致：青海国德招标代理有限公司</w:t>
      </w:r>
    </w:p>
    <w:p w14:paraId="5ADBB592">
      <w:pPr>
        <w:spacing w:line="360" w:lineRule="auto"/>
      </w:pPr>
    </w:p>
    <w:p w14:paraId="2E8049D8">
      <w:pPr>
        <w:spacing w:line="360" w:lineRule="auto"/>
        <w:ind w:firstLine="480"/>
        <w:rPr>
          <w:sz w:val="24"/>
        </w:rPr>
      </w:pPr>
      <w:r>
        <w:rPr>
          <w:rFonts w:hint="eastAsia"/>
          <w:sz w:val="24"/>
        </w:rPr>
        <w:t>本公司（联合体） 郑重声明， 根据《政府采购促进中小企业发展管理办法》（财库﹝2020﹞46 号） 的规定， 本公司（联合体） 参加</w:t>
      </w:r>
      <w:r>
        <w:rPr>
          <w:rFonts w:hint="eastAsia"/>
          <w:sz w:val="24"/>
          <w:u w:val="single"/>
        </w:rPr>
        <w:t>（单位名称）</w:t>
      </w:r>
      <w:r>
        <w:rPr>
          <w:rFonts w:hint="eastAsia"/>
          <w:sz w:val="24"/>
        </w:rPr>
        <w:t xml:space="preserve"> 的</w:t>
      </w:r>
      <w:r>
        <w:rPr>
          <w:rFonts w:hint="eastAsia"/>
          <w:sz w:val="24"/>
          <w:u w:val="single"/>
        </w:rPr>
        <w:t xml:space="preserve">（项目名称） </w:t>
      </w:r>
      <w:r>
        <w:rPr>
          <w:rFonts w:hint="eastAsia"/>
          <w:sz w:val="24"/>
        </w:rPr>
        <w:t>采购活动，服务全部由符合政策要求的中小企业承接。 相关企业（含联合体中的中小企业、 签订分包意向协议的中小企业）的具体情况如下：</w:t>
      </w:r>
    </w:p>
    <w:p w14:paraId="51CAD7C2">
      <w:pPr>
        <w:spacing w:line="360" w:lineRule="auto"/>
        <w:ind w:firstLine="480"/>
        <w:rPr>
          <w:sz w:val="24"/>
        </w:rPr>
      </w:pPr>
      <w:r>
        <w:rPr>
          <w:rFonts w:hint="eastAsia"/>
          <w:sz w:val="24"/>
        </w:rPr>
        <w:t xml:space="preserve">1. </w:t>
      </w:r>
      <w:r>
        <w:rPr>
          <w:rFonts w:hint="eastAsia"/>
          <w:sz w:val="24"/>
          <w:u w:val="single"/>
        </w:rPr>
        <w:t>（标的名称）</w:t>
      </w:r>
      <w:r>
        <w:rPr>
          <w:rFonts w:hint="eastAsia"/>
          <w:sz w:val="24"/>
        </w:rPr>
        <w:t xml:space="preserve"> </w:t>
      </w:r>
      <w:r>
        <w:rPr>
          <w:rFonts w:hint="eastAsia"/>
          <w:color w:val="000000" w:themeColor="text1"/>
          <w:sz w:val="24"/>
          <w14:textFill>
            <w14:solidFill>
              <w14:schemeClr w14:val="tx1"/>
            </w14:solidFill>
          </w14:textFill>
        </w:rPr>
        <w:t>，属于</w:t>
      </w:r>
      <w:r>
        <w:rPr>
          <w:rFonts w:hint="eastAsia"/>
          <w:color w:val="000000" w:themeColor="text1"/>
          <w:sz w:val="24"/>
          <w:u w:val="single"/>
          <w14:textFill>
            <w14:solidFill>
              <w14:schemeClr w14:val="tx1"/>
            </w14:solidFill>
          </w14:textFill>
        </w:rPr>
        <w:t xml:space="preserve"> 其他未列明行业 </w:t>
      </w:r>
      <w:r>
        <w:rPr>
          <w:rFonts w:hint="eastAsia"/>
          <w:sz w:val="24"/>
          <w:u w:val="single"/>
        </w:rPr>
        <w:t>行</w:t>
      </w:r>
      <w:r>
        <w:rPr>
          <w:rFonts w:hint="eastAsia"/>
          <w:sz w:val="24"/>
        </w:rPr>
        <w:t>业； 承接企业为</w:t>
      </w:r>
      <w:r>
        <w:rPr>
          <w:rFonts w:hint="eastAsia"/>
          <w:sz w:val="24"/>
          <w:u w:val="single"/>
        </w:rPr>
        <w:t>（ 企业名称）</w:t>
      </w:r>
      <w:r>
        <w:rPr>
          <w:rFonts w:hint="eastAsia"/>
          <w:sz w:val="24"/>
        </w:rPr>
        <w:t>， 从业人员人， 营业收入为万元， 资产总额为万元，属于</w:t>
      </w:r>
      <w:r>
        <w:rPr>
          <w:rFonts w:hint="eastAsia"/>
          <w:sz w:val="24"/>
          <w:u w:val="single"/>
        </w:rPr>
        <w:t>（中型企业、 小型企业、 微型企业）</w:t>
      </w:r>
      <w:r>
        <w:rPr>
          <w:rFonts w:hint="eastAsia"/>
          <w:sz w:val="24"/>
        </w:rPr>
        <w:t>；</w:t>
      </w:r>
    </w:p>
    <w:p w14:paraId="2F8FCFB3">
      <w:pPr>
        <w:spacing w:line="360" w:lineRule="auto"/>
        <w:ind w:firstLine="480"/>
        <w:rPr>
          <w:sz w:val="24"/>
        </w:rPr>
      </w:pPr>
      <w:r>
        <w:rPr>
          <w:rFonts w:hint="eastAsia"/>
          <w:sz w:val="24"/>
        </w:rPr>
        <w:t xml:space="preserve">2. </w:t>
      </w:r>
      <w:r>
        <w:rPr>
          <w:rFonts w:hint="eastAsia"/>
          <w:sz w:val="24"/>
          <w:u w:val="single"/>
        </w:rPr>
        <w:t xml:space="preserve">（标的名称） </w:t>
      </w:r>
      <w:r>
        <w:rPr>
          <w:rFonts w:hint="eastAsia"/>
          <w:sz w:val="24"/>
        </w:rPr>
        <w:t>，属于</w:t>
      </w:r>
      <w:r>
        <w:rPr>
          <w:rFonts w:hint="eastAsia"/>
          <w:sz w:val="24"/>
          <w:u w:val="single"/>
        </w:rPr>
        <w:t xml:space="preserve"> 其他未列明行业 行</w:t>
      </w:r>
      <w:r>
        <w:rPr>
          <w:rFonts w:hint="eastAsia"/>
          <w:sz w:val="24"/>
        </w:rPr>
        <w:t>业； 承接企业为</w:t>
      </w:r>
      <w:r>
        <w:rPr>
          <w:rFonts w:hint="eastAsia"/>
          <w:sz w:val="24"/>
          <w:u w:val="single"/>
        </w:rPr>
        <w:t>（ 企业名称）</w:t>
      </w:r>
      <w:r>
        <w:rPr>
          <w:rFonts w:hint="eastAsia"/>
          <w:sz w:val="24"/>
        </w:rPr>
        <w:t>，从业人员人， 营业收入为万元， 资产总额为万元，属于</w:t>
      </w:r>
      <w:r>
        <w:rPr>
          <w:rFonts w:hint="eastAsia"/>
          <w:sz w:val="24"/>
          <w:u w:val="single"/>
        </w:rPr>
        <w:t>（中型企业、 小型企业、 微型企业）</w:t>
      </w:r>
      <w:r>
        <w:rPr>
          <w:rFonts w:hint="eastAsia"/>
          <w:sz w:val="24"/>
        </w:rPr>
        <w:t>；</w:t>
      </w:r>
    </w:p>
    <w:p w14:paraId="10B8249E">
      <w:pPr>
        <w:spacing w:line="360" w:lineRule="auto"/>
        <w:ind w:firstLine="480"/>
        <w:rPr>
          <w:sz w:val="24"/>
        </w:rPr>
      </w:pPr>
      <w:r>
        <w:rPr>
          <w:rFonts w:hint="eastAsia"/>
          <w:sz w:val="24"/>
        </w:rPr>
        <w:t>……</w:t>
      </w:r>
    </w:p>
    <w:p w14:paraId="3E4C5B02">
      <w:pPr>
        <w:spacing w:line="360" w:lineRule="auto"/>
        <w:ind w:firstLine="480"/>
        <w:rPr>
          <w:sz w:val="24"/>
        </w:rPr>
      </w:pPr>
      <w:r>
        <w:rPr>
          <w:rFonts w:hint="eastAsia"/>
          <w:sz w:val="24"/>
        </w:rPr>
        <w:t>以上企业，不属于大企业的分支机构， 不存在控股股东为大企业的情形， 也不存在与大企业的负责人为同一人的情形。</w:t>
      </w:r>
    </w:p>
    <w:p w14:paraId="749927A4">
      <w:pPr>
        <w:spacing w:line="360" w:lineRule="auto"/>
        <w:ind w:firstLine="480"/>
        <w:rPr>
          <w:sz w:val="24"/>
        </w:rPr>
      </w:pPr>
      <w:r>
        <w:rPr>
          <w:rFonts w:hint="eastAsia"/>
          <w:sz w:val="24"/>
        </w:rPr>
        <w:t>本企业对上述声明内容的真实性负责。 如有虚假， 将依法承担相应责任。</w:t>
      </w:r>
    </w:p>
    <w:p w14:paraId="4CB43894">
      <w:pPr>
        <w:spacing w:line="360" w:lineRule="auto"/>
        <w:ind w:firstLine="480"/>
        <w:rPr>
          <w:sz w:val="24"/>
        </w:rPr>
      </w:pPr>
    </w:p>
    <w:p w14:paraId="5014D4BB">
      <w:pPr>
        <w:spacing w:line="360" w:lineRule="auto"/>
        <w:rPr>
          <w:sz w:val="24"/>
        </w:rPr>
      </w:pPr>
      <w:r>
        <w:rPr>
          <w:rFonts w:hint="eastAsia"/>
          <w:sz w:val="24"/>
        </w:rPr>
        <w:t>注：1、从业人员、营业收入、资产总额填报上一年度数据，无上一年度数据的新成立企业可不填报。</w:t>
      </w:r>
    </w:p>
    <w:p w14:paraId="0F77FBBF">
      <w:pPr>
        <w:spacing w:line="360" w:lineRule="auto"/>
        <w:ind w:firstLine="480"/>
        <w:outlineLvl w:val="2"/>
        <w:rPr>
          <w:sz w:val="24"/>
        </w:rPr>
      </w:pPr>
      <w:bookmarkStart w:id="429" w:name="_Toc20472"/>
      <w:r>
        <w:rPr>
          <w:rFonts w:hint="eastAsia"/>
          <w:sz w:val="24"/>
        </w:rPr>
        <w:t>2、</w:t>
      </w:r>
      <w:r>
        <w:rPr>
          <w:rFonts w:hint="eastAsia" w:ascii="宋体" w:hAnsi="宋体"/>
          <w:sz w:val="24"/>
        </w:rPr>
        <w:t>若无此项内容，可不提供此函。</w:t>
      </w:r>
      <w:bookmarkEnd w:id="429"/>
    </w:p>
    <w:p w14:paraId="36D2D413">
      <w:pPr>
        <w:spacing w:line="360" w:lineRule="auto"/>
        <w:ind w:firstLine="480"/>
      </w:pPr>
    </w:p>
    <w:p w14:paraId="0872A078">
      <w:pPr>
        <w:spacing w:line="360" w:lineRule="auto"/>
      </w:pPr>
    </w:p>
    <w:p w14:paraId="7D40E1AF">
      <w:pPr>
        <w:spacing w:line="360" w:lineRule="auto"/>
        <w:jc w:val="center"/>
        <w:rPr>
          <w:rFonts w:ascii="宋体" w:hAnsi="宋体"/>
          <w:bCs/>
          <w:sz w:val="24"/>
          <w:szCs w:val="28"/>
        </w:rPr>
      </w:pPr>
      <w:bookmarkStart w:id="430" w:name="OLE_LINK14"/>
      <w:bookmarkStart w:id="431" w:name="OLE_LINK13"/>
      <w:bookmarkStart w:id="432" w:name="_Toc31287"/>
      <w:r>
        <w:rPr>
          <w:rFonts w:hint="eastAsia" w:ascii="宋体" w:hAnsi="宋体"/>
          <w:bCs/>
          <w:sz w:val="24"/>
          <w:szCs w:val="28"/>
        </w:rPr>
        <w:t>企业名称：       （公章）</w:t>
      </w:r>
    </w:p>
    <w:p w14:paraId="74ABF85A">
      <w:pPr>
        <w:spacing w:line="360" w:lineRule="auto"/>
        <w:ind w:firstLine="482"/>
        <w:jc w:val="right"/>
        <w:outlineLvl w:val="0"/>
        <w:rPr>
          <w:rFonts w:ascii="宋体" w:hAnsi="宋体"/>
          <w:bCs/>
          <w:sz w:val="24"/>
          <w:szCs w:val="28"/>
        </w:rPr>
      </w:pPr>
      <w:r>
        <w:rPr>
          <w:rFonts w:hint="eastAsia" w:ascii="宋体" w:hAnsi="宋体"/>
          <w:bCs/>
          <w:sz w:val="24"/>
          <w:szCs w:val="28"/>
        </w:rPr>
        <w:t xml:space="preserve">       </w:t>
      </w:r>
      <w:bookmarkStart w:id="433" w:name="_Toc26047"/>
      <w:bookmarkStart w:id="434" w:name="_Toc21970"/>
      <w:r>
        <w:rPr>
          <w:rFonts w:hint="eastAsia" w:ascii="宋体" w:hAnsi="宋体"/>
          <w:bCs/>
          <w:sz w:val="24"/>
          <w:szCs w:val="28"/>
        </w:rPr>
        <w:t>企业法定代表人：       （签字或盖章）</w:t>
      </w:r>
      <w:bookmarkEnd w:id="433"/>
      <w:bookmarkEnd w:id="434"/>
    </w:p>
    <w:p w14:paraId="34B293BC">
      <w:pPr>
        <w:autoSpaceDE w:val="0"/>
        <w:autoSpaceDN w:val="0"/>
        <w:spacing w:line="360" w:lineRule="auto"/>
        <w:jc w:val="right"/>
        <w:rPr>
          <w:rFonts w:hAnsi="宋体"/>
          <w:bCs/>
          <w:sz w:val="24"/>
          <w:szCs w:val="28"/>
        </w:rPr>
      </w:pPr>
      <w:r>
        <w:rPr>
          <w:rFonts w:hint="eastAsia" w:ascii="宋体" w:hAnsi="宋体"/>
          <w:bCs/>
          <w:sz w:val="24"/>
          <w:szCs w:val="28"/>
        </w:rPr>
        <w:t>年   月  日</w:t>
      </w:r>
    </w:p>
    <w:p w14:paraId="000462F8">
      <w:pPr>
        <w:pStyle w:val="4"/>
        <w:tabs>
          <w:tab w:val="left" w:pos="425"/>
        </w:tabs>
        <w:ind w:left="709" w:hanging="709"/>
        <w:outlineLvl w:val="9"/>
        <w:rPr>
          <w:rFonts w:hint="eastAsia" w:hAnsi="宋体"/>
          <w:b/>
          <w:sz w:val="32"/>
          <w:lang w:val="zh-CN"/>
        </w:rPr>
      </w:pPr>
    </w:p>
    <w:p w14:paraId="4D94A3CB">
      <w:pPr>
        <w:pStyle w:val="5"/>
        <w:rPr>
          <w:rFonts w:hint="eastAsia" w:hAnsi="宋体"/>
          <w:b/>
          <w:sz w:val="32"/>
          <w:lang w:val="zh-CN"/>
        </w:rPr>
      </w:pPr>
    </w:p>
    <w:p w14:paraId="1D8AF93F">
      <w:pPr>
        <w:pStyle w:val="4"/>
        <w:tabs>
          <w:tab w:val="left" w:pos="425"/>
        </w:tabs>
        <w:rPr>
          <w:rFonts w:hAnsi="宋体"/>
          <w:b/>
          <w:sz w:val="32"/>
          <w:lang w:val="zh-CN"/>
        </w:rPr>
      </w:pPr>
      <w:bookmarkStart w:id="435" w:name="_Toc29664"/>
      <w:bookmarkStart w:id="436" w:name="_Toc11188"/>
      <w:r>
        <w:rPr>
          <w:rFonts w:hint="eastAsia" w:hAnsi="宋体"/>
          <w:b/>
          <w:sz w:val="32"/>
          <w:lang w:val="zh-CN"/>
        </w:rPr>
        <w:t>格式</w:t>
      </w:r>
      <w:r>
        <w:rPr>
          <w:rFonts w:hint="eastAsia" w:hAnsi="宋体"/>
          <w:b/>
          <w:sz w:val="32"/>
        </w:rPr>
        <w:t>1</w:t>
      </w:r>
      <w:r>
        <w:rPr>
          <w:rFonts w:hint="eastAsia" w:hAnsi="宋体"/>
          <w:b/>
          <w:sz w:val="32"/>
          <w:lang w:val="en-US" w:eastAsia="zh-CN"/>
        </w:rPr>
        <w:t>9</w:t>
      </w:r>
      <w:r>
        <w:rPr>
          <w:rFonts w:hint="eastAsia" w:hAnsi="宋体"/>
          <w:b/>
          <w:sz w:val="32"/>
          <w:lang w:val="zh-CN"/>
        </w:rPr>
        <w:t>、残疾人福利性单位声明函</w:t>
      </w:r>
      <w:bookmarkEnd w:id="435"/>
      <w:bookmarkEnd w:id="436"/>
    </w:p>
    <w:p w14:paraId="73DD6292">
      <w:pPr>
        <w:autoSpaceDE w:val="0"/>
        <w:autoSpaceDN w:val="0"/>
        <w:spacing w:line="360" w:lineRule="auto"/>
        <w:jc w:val="center"/>
        <w:rPr>
          <w:rFonts w:ascii="宋体" w:hAnsi="宋体" w:cs="宋体"/>
          <w:b/>
          <w:bCs/>
          <w:kern w:val="0"/>
          <w:sz w:val="28"/>
          <w:szCs w:val="28"/>
          <w:lang w:val="zh-CN"/>
        </w:rPr>
      </w:pPr>
    </w:p>
    <w:p w14:paraId="531811EE">
      <w:pPr>
        <w:autoSpaceDE w:val="0"/>
        <w:autoSpaceDN w:val="0"/>
        <w:spacing w:line="360" w:lineRule="auto"/>
        <w:jc w:val="center"/>
        <w:rPr>
          <w:rFonts w:ascii="宋体" w:hAnsi="宋体" w:cs="宋体"/>
          <w:b/>
          <w:bCs/>
          <w:kern w:val="0"/>
          <w:sz w:val="28"/>
          <w:szCs w:val="28"/>
          <w:lang w:val="zh-CN"/>
        </w:rPr>
      </w:pPr>
      <w:r>
        <w:rPr>
          <w:rFonts w:hint="eastAsia" w:ascii="宋体" w:hAnsi="宋体" w:cs="宋体"/>
          <w:b/>
          <w:bCs/>
          <w:kern w:val="0"/>
          <w:sz w:val="28"/>
          <w:szCs w:val="28"/>
          <w:lang w:val="zh-CN"/>
        </w:rPr>
        <w:t>残疾人福利性单位声明函</w:t>
      </w:r>
    </w:p>
    <w:bookmarkEnd w:id="430"/>
    <w:bookmarkEnd w:id="431"/>
    <w:p w14:paraId="58D4D9EC">
      <w:pPr>
        <w:spacing w:afterLines="50" w:line="360" w:lineRule="auto"/>
        <w:rPr>
          <w:rFonts w:ascii="宋体" w:hAnsi="宋体" w:cs="宋体"/>
          <w:bCs/>
        </w:rPr>
      </w:pPr>
    </w:p>
    <w:p w14:paraId="059C6227">
      <w:pPr>
        <w:adjustRightInd w:val="0"/>
        <w:snapToGrid w:val="0"/>
        <w:spacing w:line="360" w:lineRule="auto"/>
        <w:ind w:left="6987" w:hanging="6987" w:hangingChars="2900"/>
        <w:rPr>
          <w:rFonts w:ascii="宋体" w:hAnsi="宋体" w:cs="宋体"/>
          <w:b/>
          <w:bCs/>
          <w:kern w:val="0"/>
          <w:sz w:val="24"/>
          <w:lang w:val="zh-CN"/>
        </w:rPr>
      </w:pPr>
      <w:r>
        <w:rPr>
          <w:rFonts w:hint="eastAsia" w:ascii="宋体" w:hAnsi="宋体" w:cs="宋体"/>
          <w:b/>
          <w:bCs/>
          <w:kern w:val="0"/>
          <w:sz w:val="24"/>
          <w:lang w:val="zh-CN"/>
        </w:rPr>
        <w:t>致：青海国德招标代理有限公司</w:t>
      </w:r>
    </w:p>
    <w:p w14:paraId="23C664E7">
      <w:pPr>
        <w:spacing w:line="360" w:lineRule="auto"/>
        <w:ind w:firstLine="480"/>
        <w:rPr>
          <w:rFonts w:ascii="宋体" w:hAnsi="宋体" w:cs="宋体"/>
        </w:rPr>
      </w:pPr>
    </w:p>
    <w:p w14:paraId="69BD62C7">
      <w:pPr>
        <w:adjustRightInd w:val="0"/>
        <w:snapToGrid w:val="0"/>
        <w:spacing w:line="360" w:lineRule="auto"/>
        <w:ind w:left="-4" w:leftChars="-2" w:firstLine="480" w:firstLineChars="200"/>
        <w:rPr>
          <w:rFonts w:ascii="宋体" w:hAnsi="宋体" w:cs="宋体"/>
          <w:sz w:val="24"/>
        </w:rPr>
      </w:pPr>
      <w:r>
        <w:rPr>
          <w:rFonts w:hint="eastAsia" w:ascii="宋体" w:hAnsi="宋体" w:cs="宋体"/>
          <w:sz w:val="24"/>
        </w:rPr>
        <w:t>本单位郑重声明，根据《财政部、民政部、中国残疾人联合会关于促进残疾人就业政府采购政策的通知》（财库〔2017〕141号）的规定，本单位为符合条件的残疾人福利性单位，本单位在职职工人数为 人，安置的残疾人人数人。且本单位参加______单位的______项目采购活动提供本单位制造的货物（由本单位承担工程/提供服务），或者提供其他残疾人福利性单位制造的货物（不包括使用非残疾人福利性单位注册商标的货物）。</w:t>
      </w:r>
    </w:p>
    <w:p w14:paraId="1AD55395">
      <w:pPr>
        <w:adjustRightInd w:val="0"/>
        <w:snapToGrid w:val="0"/>
        <w:spacing w:line="360" w:lineRule="auto"/>
        <w:ind w:left="-4" w:leftChars="-2" w:firstLine="480" w:firstLineChars="200"/>
        <w:rPr>
          <w:rFonts w:ascii="宋体" w:hAnsi="宋体" w:cs="宋体"/>
          <w:sz w:val="24"/>
        </w:rPr>
      </w:pPr>
      <w:r>
        <w:rPr>
          <w:rFonts w:hint="eastAsia" w:ascii="宋体" w:hAnsi="宋体" w:cs="宋体"/>
          <w:sz w:val="24"/>
        </w:rPr>
        <w:t>本单位对上述声明的真实性负责。如有虚假，将依法承担相应责任。</w:t>
      </w:r>
    </w:p>
    <w:p w14:paraId="32E9AF7F">
      <w:pPr>
        <w:adjustRightInd w:val="0"/>
        <w:snapToGrid w:val="0"/>
        <w:spacing w:line="360" w:lineRule="auto"/>
        <w:ind w:left="-4" w:leftChars="-2" w:firstLine="480" w:firstLineChars="200"/>
        <w:rPr>
          <w:rFonts w:ascii="宋体" w:hAnsi="宋体" w:cs="宋体"/>
          <w:sz w:val="24"/>
        </w:rPr>
      </w:pPr>
    </w:p>
    <w:p w14:paraId="68C0D59F">
      <w:pPr>
        <w:adjustRightInd w:val="0"/>
        <w:snapToGrid w:val="0"/>
        <w:spacing w:line="360" w:lineRule="auto"/>
        <w:ind w:left="-4" w:leftChars="-2" w:firstLine="480" w:firstLineChars="200"/>
        <w:rPr>
          <w:rFonts w:ascii="宋体" w:hAnsi="宋体" w:cs="宋体"/>
          <w:sz w:val="24"/>
        </w:rPr>
      </w:pPr>
      <w:r>
        <w:rPr>
          <w:rFonts w:hint="eastAsia" w:ascii="宋体" w:hAnsi="宋体" w:cs="宋体"/>
          <w:sz w:val="24"/>
        </w:rPr>
        <w:t>注：若无此项内容，可不提供此函。</w:t>
      </w:r>
    </w:p>
    <w:p w14:paraId="31F4569D">
      <w:pPr>
        <w:spacing w:line="360" w:lineRule="auto"/>
        <w:ind w:firstLine="480"/>
        <w:rPr>
          <w:rFonts w:ascii="宋体" w:hAnsi="宋体" w:cs="宋体"/>
        </w:rPr>
      </w:pPr>
    </w:p>
    <w:p w14:paraId="76D42A43">
      <w:pPr>
        <w:spacing w:line="360" w:lineRule="auto"/>
        <w:ind w:firstLine="480"/>
        <w:rPr>
          <w:rFonts w:ascii="宋体" w:hAnsi="宋体" w:cs="宋体"/>
        </w:rPr>
      </w:pPr>
    </w:p>
    <w:p w14:paraId="650C8949">
      <w:pPr>
        <w:spacing w:line="360" w:lineRule="auto"/>
        <w:ind w:firstLine="480"/>
        <w:rPr>
          <w:rFonts w:ascii="宋体" w:hAnsi="宋体" w:cs="宋体"/>
        </w:rPr>
      </w:pPr>
    </w:p>
    <w:p w14:paraId="0D0A45A1">
      <w:pPr>
        <w:spacing w:line="360" w:lineRule="auto"/>
        <w:ind w:firstLine="480"/>
        <w:rPr>
          <w:rFonts w:ascii="宋体" w:hAnsi="宋体" w:cs="宋体"/>
        </w:rPr>
      </w:pPr>
    </w:p>
    <w:p w14:paraId="28C098A0">
      <w:pPr>
        <w:spacing w:line="360" w:lineRule="auto"/>
        <w:ind w:firstLine="480"/>
        <w:rPr>
          <w:rFonts w:ascii="宋体" w:hAnsi="宋体" w:cs="宋体"/>
        </w:rPr>
      </w:pPr>
    </w:p>
    <w:p w14:paraId="0938B1AE">
      <w:pPr>
        <w:spacing w:line="360" w:lineRule="auto"/>
        <w:ind w:firstLine="480"/>
        <w:rPr>
          <w:rFonts w:ascii="宋体" w:hAnsi="宋体" w:cs="宋体"/>
        </w:rPr>
      </w:pPr>
    </w:p>
    <w:p w14:paraId="722CE7F6">
      <w:pPr>
        <w:spacing w:line="360" w:lineRule="auto"/>
        <w:ind w:firstLine="480"/>
        <w:rPr>
          <w:rFonts w:ascii="宋体" w:hAnsi="宋体" w:cs="宋体"/>
        </w:rPr>
      </w:pPr>
    </w:p>
    <w:p w14:paraId="5770F1C2">
      <w:pPr>
        <w:spacing w:line="360" w:lineRule="auto"/>
        <w:jc w:val="center"/>
        <w:rPr>
          <w:rFonts w:ascii="宋体" w:hAnsi="宋体"/>
          <w:bCs/>
          <w:sz w:val="24"/>
          <w:szCs w:val="28"/>
        </w:rPr>
      </w:pPr>
      <w:r>
        <w:rPr>
          <w:rFonts w:hint="eastAsia" w:ascii="宋体" w:hAnsi="宋体"/>
          <w:bCs/>
          <w:sz w:val="24"/>
          <w:szCs w:val="28"/>
        </w:rPr>
        <w:t>企业名称：       （公章）</w:t>
      </w:r>
    </w:p>
    <w:p w14:paraId="5BF4A0DF">
      <w:pPr>
        <w:spacing w:line="360" w:lineRule="auto"/>
        <w:ind w:firstLine="482"/>
        <w:jc w:val="right"/>
        <w:rPr>
          <w:rFonts w:ascii="宋体" w:hAnsi="宋体"/>
          <w:bCs/>
          <w:sz w:val="24"/>
          <w:szCs w:val="28"/>
        </w:rPr>
      </w:pPr>
      <w:r>
        <w:rPr>
          <w:rFonts w:hint="eastAsia" w:ascii="宋体" w:hAnsi="宋体"/>
          <w:bCs/>
          <w:sz w:val="24"/>
          <w:szCs w:val="28"/>
        </w:rPr>
        <w:t xml:space="preserve">       企业法定代表人：       （签字或盖章）</w:t>
      </w:r>
    </w:p>
    <w:p w14:paraId="59EC6373">
      <w:pPr>
        <w:autoSpaceDE w:val="0"/>
        <w:autoSpaceDN w:val="0"/>
        <w:spacing w:line="360" w:lineRule="auto"/>
        <w:jc w:val="right"/>
        <w:rPr>
          <w:rFonts w:hAnsi="宋体"/>
          <w:bCs/>
          <w:sz w:val="24"/>
          <w:szCs w:val="28"/>
        </w:rPr>
      </w:pPr>
      <w:r>
        <w:rPr>
          <w:rFonts w:hint="eastAsia" w:ascii="宋体" w:hAnsi="宋体"/>
          <w:bCs/>
          <w:sz w:val="24"/>
          <w:szCs w:val="28"/>
        </w:rPr>
        <w:t>年   月  日</w:t>
      </w:r>
    </w:p>
    <w:p w14:paraId="2F610653">
      <w:pPr>
        <w:pStyle w:val="4"/>
        <w:tabs>
          <w:tab w:val="left" w:pos="425"/>
        </w:tabs>
        <w:ind w:left="709" w:hanging="709"/>
        <w:outlineLvl w:val="9"/>
        <w:rPr>
          <w:rFonts w:hAnsi="宋体"/>
          <w:b/>
          <w:sz w:val="32"/>
          <w:lang w:val="zh-CN"/>
        </w:rPr>
      </w:pPr>
    </w:p>
    <w:p w14:paraId="3FFEB994">
      <w:pPr>
        <w:pStyle w:val="4"/>
        <w:tabs>
          <w:tab w:val="left" w:pos="425"/>
        </w:tabs>
        <w:ind w:left="709" w:hanging="709"/>
        <w:outlineLvl w:val="9"/>
        <w:rPr>
          <w:rFonts w:hAnsi="宋体"/>
          <w:b/>
          <w:sz w:val="32"/>
          <w:lang w:val="zh-CN"/>
        </w:rPr>
      </w:pPr>
    </w:p>
    <w:p w14:paraId="68AAF4E3">
      <w:pPr>
        <w:pStyle w:val="4"/>
        <w:tabs>
          <w:tab w:val="left" w:pos="425"/>
        </w:tabs>
        <w:ind w:left="709" w:hanging="709"/>
        <w:outlineLvl w:val="9"/>
        <w:rPr>
          <w:rFonts w:hAnsi="宋体"/>
          <w:b/>
          <w:sz w:val="32"/>
          <w:lang w:val="zh-CN"/>
        </w:rPr>
      </w:pPr>
    </w:p>
    <w:p w14:paraId="6373CDE9">
      <w:pPr>
        <w:pStyle w:val="4"/>
        <w:tabs>
          <w:tab w:val="left" w:pos="425"/>
        </w:tabs>
        <w:outlineLvl w:val="9"/>
        <w:rPr>
          <w:rFonts w:hAnsi="宋体"/>
          <w:b/>
          <w:sz w:val="32"/>
          <w:lang w:val="zh-CN"/>
        </w:rPr>
      </w:pPr>
    </w:p>
    <w:p w14:paraId="4B908847">
      <w:pPr>
        <w:pStyle w:val="4"/>
        <w:tabs>
          <w:tab w:val="left" w:pos="425"/>
        </w:tabs>
        <w:rPr>
          <w:rFonts w:hAnsi="宋体"/>
          <w:b/>
          <w:sz w:val="32"/>
          <w:lang w:val="zh-CN"/>
        </w:rPr>
      </w:pPr>
      <w:r>
        <w:rPr>
          <w:rFonts w:hAnsi="宋体"/>
          <w:b/>
          <w:sz w:val="32"/>
          <w:lang w:val="zh-CN"/>
        </w:rPr>
        <w:br w:type="page"/>
      </w:r>
      <w:bookmarkStart w:id="437" w:name="_Toc12962"/>
      <w:bookmarkStart w:id="438" w:name="_Toc16720"/>
      <w:r>
        <w:rPr>
          <w:rFonts w:hint="eastAsia" w:hAnsi="宋体"/>
          <w:b/>
          <w:sz w:val="32"/>
          <w:lang w:val="zh-CN"/>
        </w:rPr>
        <w:t>格式</w:t>
      </w:r>
      <w:r>
        <w:rPr>
          <w:rFonts w:hint="eastAsia" w:hAnsi="宋体"/>
          <w:b/>
          <w:sz w:val="32"/>
          <w:lang w:val="en-US" w:eastAsia="zh-CN"/>
        </w:rPr>
        <w:t>20</w:t>
      </w:r>
      <w:r>
        <w:rPr>
          <w:rFonts w:hint="eastAsia" w:hAnsi="宋体"/>
          <w:b/>
          <w:sz w:val="32"/>
          <w:lang w:val="zh-CN"/>
        </w:rPr>
        <w:t>、供应商认为在其他方面有必要说明的事项</w:t>
      </w:r>
      <w:bookmarkEnd w:id="432"/>
      <w:bookmarkEnd w:id="437"/>
      <w:bookmarkEnd w:id="438"/>
    </w:p>
    <w:p w14:paraId="327341C2">
      <w:pPr>
        <w:autoSpaceDE w:val="0"/>
        <w:autoSpaceDN w:val="0"/>
        <w:adjustRightInd w:val="0"/>
        <w:spacing w:line="360" w:lineRule="auto"/>
        <w:rPr>
          <w:rFonts w:ascii="宋体" w:hAnsi="宋体" w:cs="宋体"/>
          <w:kern w:val="0"/>
          <w:sz w:val="24"/>
          <w:lang w:val="zh-CN"/>
        </w:rPr>
      </w:pPr>
    </w:p>
    <w:p w14:paraId="6A740D91">
      <w:pPr>
        <w:pStyle w:val="17"/>
        <w:spacing w:line="360" w:lineRule="auto"/>
        <w:jc w:val="center"/>
        <w:rPr>
          <w:rFonts w:hAnsi="宋体" w:cs="宋体"/>
          <w:b/>
          <w:bCs/>
          <w:sz w:val="30"/>
          <w:szCs w:val="30"/>
          <w:lang w:val="zh-CN"/>
        </w:rPr>
      </w:pPr>
      <w:r>
        <w:rPr>
          <w:rFonts w:hint="eastAsia" w:hAnsi="宋体" w:cs="宋体"/>
          <w:b/>
          <w:bCs/>
          <w:sz w:val="32"/>
          <w:szCs w:val="30"/>
          <w:lang w:val="zh-CN"/>
        </w:rPr>
        <w:t>磋商供应商认为在其他方面有必要说明的事项</w:t>
      </w:r>
    </w:p>
    <w:p w14:paraId="04854A95">
      <w:pPr>
        <w:autoSpaceDE w:val="0"/>
        <w:autoSpaceDN w:val="0"/>
        <w:adjustRightInd w:val="0"/>
        <w:spacing w:line="360" w:lineRule="auto"/>
        <w:rPr>
          <w:rFonts w:ascii="宋体" w:hAnsi="宋体" w:cs="宋体"/>
          <w:kern w:val="0"/>
          <w:sz w:val="24"/>
          <w:lang w:val="zh-CN"/>
        </w:rPr>
      </w:pPr>
    </w:p>
    <w:p w14:paraId="4263566A">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供应商在参加本项目磋商中根据磋商文件的要求认为需要说明的事项，但不作为评标依据。如没有说明事项，此项可忽略。（格式可自定）</w:t>
      </w:r>
    </w:p>
    <w:p w14:paraId="1F94B166">
      <w:pPr>
        <w:pStyle w:val="4"/>
        <w:tabs>
          <w:tab w:val="left" w:pos="425"/>
        </w:tabs>
        <w:ind w:left="709" w:hanging="709"/>
        <w:rPr>
          <w:rFonts w:hAnsi="宋体"/>
          <w:b/>
          <w:sz w:val="32"/>
          <w:lang w:val="zh-CN"/>
        </w:rPr>
      </w:pPr>
      <w:r>
        <w:rPr>
          <w:rFonts w:hAnsi="宋体"/>
          <w:bCs/>
          <w:sz w:val="24"/>
          <w:szCs w:val="28"/>
        </w:rPr>
        <w:br w:type="page"/>
      </w:r>
      <w:bookmarkStart w:id="439" w:name="_Toc1893"/>
      <w:bookmarkStart w:id="440" w:name="_Toc6707"/>
      <w:r>
        <w:rPr>
          <w:rFonts w:hint="eastAsia" w:hAnsi="宋体"/>
          <w:b/>
          <w:sz w:val="32"/>
          <w:lang w:val="zh-CN"/>
        </w:rPr>
        <w:t>格式2</w:t>
      </w:r>
      <w:r>
        <w:rPr>
          <w:rFonts w:hint="eastAsia" w:hAnsi="宋体"/>
          <w:b/>
          <w:sz w:val="32"/>
          <w:lang w:val="en-US" w:eastAsia="zh-CN"/>
        </w:rPr>
        <w:t>1</w:t>
      </w:r>
      <w:r>
        <w:rPr>
          <w:rFonts w:hint="eastAsia" w:hAnsi="宋体"/>
          <w:b/>
          <w:sz w:val="32"/>
          <w:lang w:val="zh-CN"/>
        </w:rPr>
        <w:t>、磋商最终报价表</w:t>
      </w:r>
      <w:r>
        <w:rPr>
          <w:rFonts w:hint="eastAsia" w:hAnsi="宋体"/>
          <w:b/>
          <w:sz w:val="36"/>
          <w:szCs w:val="36"/>
        </w:rPr>
        <w:t>（单独提交）</w:t>
      </w:r>
      <w:bookmarkEnd w:id="439"/>
      <w:bookmarkEnd w:id="440"/>
    </w:p>
    <w:p w14:paraId="57A570F0">
      <w:pPr>
        <w:spacing w:line="360" w:lineRule="auto"/>
        <w:jc w:val="center"/>
        <w:rPr>
          <w:rFonts w:ascii="宋体" w:hAnsi="宋体"/>
          <w:b/>
          <w:sz w:val="32"/>
          <w:szCs w:val="36"/>
        </w:rPr>
      </w:pPr>
      <w:r>
        <w:rPr>
          <w:rFonts w:hint="eastAsia" w:ascii="宋体" w:hAnsi="宋体"/>
          <w:b/>
          <w:sz w:val="32"/>
          <w:szCs w:val="36"/>
        </w:rPr>
        <w:t>最终报价表</w:t>
      </w:r>
    </w:p>
    <w:p w14:paraId="7487E64C">
      <w:pPr>
        <w:spacing w:line="360" w:lineRule="auto"/>
        <w:rPr>
          <w:rFonts w:ascii="宋体" w:hAnsi="宋体"/>
          <w:b/>
          <w:sz w:val="24"/>
        </w:rPr>
      </w:pPr>
      <w:r>
        <w:rPr>
          <w:rFonts w:hint="eastAsia" w:ascii="宋体" w:hAnsi="宋体"/>
          <w:b/>
          <w:sz w:val="24"/>
          <w:szCs w:val="28"/>
        </w:rPr>
        <w:t xml:space="preserve">供应商名称： </w:t>
      </w:r>
    </w:p>
    <w:p w14:paraId="0D97F03C">
      <w:pPr>
        <w:spacing w:line="360" w:lineRule="auto"/>
        <w:jc w:val="right"/>
        <w:rPr>
          <w:rFonts w:ascii="宋体" w:hAnsi="宋体"/>
          <w:b/>
          <w:sz w:val="28"/>
          <w:szCs w:val="28"/>
        </w:rPr>
      </w:pPr>
      <w:r>
        <w:rPr>
          <w:rFonts w:hint="eastAsia" w:ascii="宋体" w:hAnsi="宋体" w:cs="宋体"/>
          <w:bCs/>
          <w:kern w:val="0"/>
          <w:sz w:val="24"/>
          <w:lang w:val="zh-CN"/>
        </w:rPr>
        <w:t>单位：人民币（元）</w:t>
      </w:r>
    </w:p>
    <w:tbl>
      <w:tblPr>
        <w:tblStyle w:val="33"/>
        <w:tblW w:w="9505" w:type="dxa"/>
        <w:jc w:val="center"/>
        <w:tblLayout w:type="fixed"/>
        <w:tblCellMar>
          <w:top w:w="0" w:type="dxa"/>
          <w:left w:w="108" w:type="dxa"/>
          <w:bottom w:w="0" w:type="dxa"/>
          <w:right w:w="108" w:type="dxa"/>
        </w:tblCellMar>
      </w:tblPr>
      <w:tblGrid>
        <w:gridCol w:w="2503"/>
        <w:gridCol w:w="3188"/>
        <w:gridCol w:w="2129"/>
        <w:gridCol w:w="1685"/>
      </w:tblGrid>
      <w:tr w14:paraId="1CA5876F">
        <w:tblPrEx>
          <w:tblCellMar>
            <w:top w:w="0" w:type="dxa"/>
            <w:left w:w="108" w:type="dxa"/>
            <w:bottom w:w="0" w:type="dxa"/>
            <w:right w:w="108" w:type="dxa"/>
          </w:tblCellMar>
        </w:tblPrEx>
        <w:trPr>
          <w:trHeight w:val="699" w:hRule="atLeast"/>
          <w:jc w:val="center"/>
        </w:trPr>
        <w:tc>
          <w:tcPr>
            <w:tcW w:w="2503"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12D36EE7">
            <w:pPr>
              <w:autoSpaceDE w:val="0"/>
              <w:autoSpaceDN w:val="0"/>
              <w:spacing w:line="360" w:lineRule="auto"/>
              <w:jc w:val="center"/>
              <w:rPr>
                <w:rFonts w:ascii="Arial" w:hAnsi="Arial" w:cs="Arial"/>
                <w:sz w:val="24"/>
                <w:lang w:val="zh-CN"/>
              </w:rPr>
            </w:pPr>
            <w:r>
              <w:rPr>
                <w:rFonts w:ascii="Arial" w:hAnsi="Arial" w:cs="Arial"/>
                <w:bCs/>
                <w:sz w:val="24"/>
                <w:lang w:val="zh-CN"/>
              </w:rPr>
              <w:t>项目名称</w:t>
            </w: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5BF32061">
            <w:pPr>
              <w:autoSpaceDE w:val="0"/>
              <w:autoSpaceDN w:val="0"/>
              <w:spacing w:line="360" w:lineRule="auto"/>
              <w:ind w:firstLine="482"/>
              <w:jc w:val="center"/>
              <w:rPr>
                <w:rFonts w:ascii="Arial" w:hAnsi="Arial" w:cs="Arial"/>
                <w:lang w:val="zh-CN"/>
              </w:rPr>
            </w:pPr>
            <w:r>
              <w:rPr>
                <w:rFonts w:ascii="Arial" w:hAnsi="Arial" w:cs="Arial"/>
                <w:bCs/>
                <w:sz w:val="24"/>
                <w:lang w:val="zh-CN"/>
              </w:rPr>
              <w:t>磋商报价</w:t>
            </w:r>
          </w:p>
        </w:tc>
        <w:tc>
          <w:tcPr>
            <w:tcW w:w="2129"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482C52D0">
            <w:pPr>
              <w:autoSpaceDE w:val="0"/>
              <w:autoSpaceDN w:val="0"/>
              <w:spacing w:line="360" w:lineRule="auto"/>
              <w:jc w:val="center"/>
              <w:rPr>
                <w:rFonts w:ascii="Arial" w:hAnsi="Arial" w:cs="Arial"/>
                <w:sz w:val="24"/>
                <w:lang w:val="zh-CN"/>
              </w:rPr>
            </w:pPr>
            <w:r>
              <w:rPr>
                <w:rFonts w:hint="eastAsia" w:ascii="Arial" w:hAnsi="Arial" w:cs="Arial"/>
                <w:bCs/>
                <w:sz w:val="24"/>
                <w:lang w:val="zh-CN"/>
              </w:rPr>
              <w:t>服务</w:t>
            </w:r>
            <w:r>
              <w:rPr>
                <w:rFonts w:ascii="Arial" w:hAnsi="Arial" w:cs="Arial"/>
                <w:bCs/>
                <w:sz w:val="24"/>
                <w:lang w:val="zh-CN"/>
              </w:rPr>
              <w:t>期</w:t>
            </w:r>
          </w:p>
        </w:tc>
        <w:tc>
          <w:tcPr>
            <w:tcW w:w="1685"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6DECBC95">
            <w:pPr>
              <w:autoSpaceDE w:val="0"/>
              <w:autoSpaceDN w:val="0"/>
              <w:spacing w:line="360" w:lineRule="auto"/>
              <w:jc w:val="center"/>
              <w:rPr>
                <w:rFonts w:ascii="Arial" w:hAnsi="Arial" w:cs="Arial"/>
                <w:lang w:val="zh-CN"/>
              </w:rPr>
            </w:pPr>
            <w:r>
              <w:rPr>
                <w:rFonts w:ascii="Arial" w:hAnsi="Arial" w:cs="Arial"/>
                <w:bCs/>
                <w:sz w:val="24"/>
                <w:lang w:val="zh-CN"/>
              </w:rPr>
              <w:t>备注</w:t>
            </w:r>
          </w:p>
        </w:tc>
      </w:tr>
      <w:tr w14:paraId="04F5622C">
        <w:tblPrEx>
          <w:tblCellMar>
            <w:top w:w="0" w:type="dxa"/>
            <w:left w:w="108" w:type="dxa"/>
            <w:bottom w:w="0" w:type="dxa"/>
            <w:right w:w="108" w:type="dxa"/>
          </w:tblCellMar>
        </w:tblPrEx>
        <w:trPr>
          <w:trHeight w:val="555" w:hRule="atLeast"/>
          <w:jc w:val="center"/>
        </w:trPr>
        <w:tc>
          <w:tcPr>
            <w:tcW w:w="2503" w:type="dxa"/>
            <w:vMerge w:val="restart"/>
            <w:tcBorders>
              <w:top w:val="single" w:color="000000" w:sz="6" w:space="0"/>
              <w:left w:val="single" w:color="000000" w:sz="6" w:space="0"/>
              <w:right w:val="single" w:color="000000" w:sz="6" w:space="0"/>
            </w:tcBorders>
            <w:shd w:val="clear" w:color="000000" w:fill="FFFFFF"/>
            <w:vAlign w:val="center"/>
          </w:tcPr>
          <w:p w14:paraId="6A780398">
            <w:pPr>
              <w:autoSpaceDE w:val="0"/>
              <w:autoSpaceDN w:val="0"/>
              <w:spacing w:line="360" w:lineRule="auto"/>
              <w:jc w:val="center"/>
              <w:rPr>
                <w:rFonts w:ascii="Arial" w:hAnsi="Arial" w:cs="Arial"/>
                <w:lang w:val="zh-CN"/>
              </w:rPr>
            </w:pPr>
            <w:r>
              <w:rPr>
                <w:rFonts w:hint="eastAsia" w:ascii="Arial" w:hAnsi="Arial" w:cs="Arial"/>
                <w:bCs/>
                <w:sz w:val="24"/>
                <w:lang w:val="zh-CN"/>
              </w:rPr>
              <w:t>青海省养老服务中心食堂餐饮管理服务项目</w:t>
            </w: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1466CE95">
            <w:pPr>
              <w:autoSpaceDE w:val="0"/>
              <w:autoSpaceDN w:val="0"/>
              <w:spacing w:line="360" w:lineRule="auto"/>
              <w:rPr>
                <w:rFonts w:ascii="Arial" w:hAnsi="Arial" w:cs="Arial"/>
                <w:lang w:val="zh-CN"/>
              </w:rPr>
            </w:pPr>
            <w:r>
              <w:rPr>
                <w:rFonts w:ascii="Arial" w:hAnsi="Arial" w:cs="Arial"/>
                <w:bCs/>
                <w:sz w:val="24"/>
                <w:lang w:val="zh-CN"/>
              </w:rPr>
              <w:t>大写：</w:t>
            </w:r>
          </w:p>
        </w:tc>
        <w:tc>
          <w:tcPr>
            <w:tcW w:w="2129" w:type="dxa"/>
            <w:vMerge w:val="restart"/>
            <w:tcBorders>
              <w:top w:val="single" w:color="000000" w:sz="6" w:space="0"/>
              <w:left w:val="single" w:color="000000" w:sz="6" w:space="0"/>
              <w:right w:val="single" w:color="000000" w:sz="6" w:space="0"/>
            </w:tcBorders>
            <w:shd w:val="clear" w:color="000000" w:fill="FFFFFF"/>
            <w:vAlign w:val="center"/>
          </w:tcPr>
          <w:p w14:paraId="57A99914">
            <w:pPr>
              <w:autoSpaceDE w:val="0"/>
              <w:autoSpaceDN w:val="0"/>
              <w:spacing w:line="360" w:lineRule="auto"/>
              <w:ind w:firstLine="197"/>
              <w:jc w:val="center"/>
              <w:rPr>
                <w:rFonts w:ascii="Arial" w:hAnsi="Arial" w:cs="Arial"/>
                <w:lang w:val="zh-CN"/>
              </w:rPr>
            </w:pPr>
          </w:p>
        </w:tc>
        <w:tc>
          <w:tcPr>
            <w:tcW w:w="1685" w:type="dxa"/>
            <w:vMerge w:val="restart"/>
            <w:tcBorders>
              <w:top w:val="single" w:color="000000" w:sz="6" w:space="0"/>
              <w:left w:val="single" w:color="000000" w:sz="6" w:space="0"/>
              <w:bottom w:val="single" w:color="000000" w:sz="6" w:space="0"/>
              <w:right w:val="single" w:color="000000" w:sz="6" w:space="0"/>
            </w:tcBorders>
            <w:shd w:val="clear" w:color="000000" w:fill="FFFFFF"/>
            <w:vAlign w:val="center"/>
          </w:tcPr>
          <w:p w14:paraId="53C60128">
            <w:pPr>
              <w:autoSpaceDE w:val="0"/>
              <w:autoSpaceDN w:val="0"/>
              <w:spacing w:line="360" w:lineRule="auto"/>
              <w:jc w:val="center"/>
              <w:rPr>
                <w:rFonts w:ascii="Arial" w:hAnsi="Arial" w:cs="Arial"/>
                <w:lang w:val="zh-CN"/>
              </w:rPr>
            </w:pPr>
          </w:p>
        </w:tc>
      </w:tr>
      <w:tr w14:paraId="26269CCC">
        <w:tblPrEx>
          <w:tblCellMar>
            <w:top w:w="0" w:type="dxa"/>
            <w:left w:w="108" w:type="dxa"/>
            <w:bottom w:w="0" w:type="dxa"/>
            <w:right w:w="108" w:type="dxa"/>
          </w:tblCellMar>
        </w:tblPrEx>
        <w:trPr>
          <w:trHeight w:val="577" w:hRule="atLeast"/>
          <w:jc w:val="center"/>
        </w:trPr>
        <w:tc>
          <w:tcPr>
            <w:tcW w:w="2503" w:type="dxa"/>
            <w:vMerge w:val="continue"/>
            <w:tcBorders>
              <w:left w:val="single" w:color="000000" w:sz="6" w:space="0"/>
              <w:bottom w:val="single" w:color="000000" w:sz="6" w:space="0"/>
              <w:right w:val="single" w:color="000000" w:sz="6" w:space="0"/>
            </w:tcBorders>
            <w:shd w:val="clear" w:color="000000" w:fill="FFFFFF"/>
            <w:vAlign w:val="center"/>
          </w:tcPr>
          <w:p w14:paraId="60CD53A8">
            <w:pPr>
              <w:autoSpaceDE w:val="0"/>
              <w:autoSpaceDN w:val="0"/>
              <w:spacing w:line="360" w:lineRule="auto"/>
              <w:jc w:val="center"/>
              <w:rPr>
                <w:rFonts w:ascii="Arial" w:hAnsi="Arial" w:cs="Arial"/>
                <w:lang w:val="zh-CN"/>
              </w:rPr>
            </w:pPr>
          </w:p>
        </w:tc>
        <w:tc>
          <w:tcPr>
            <w:tcW w:w="3188" w:type="dxa"/>
            <w:tcBorders>
              <w:top w:val="single" w:color="000000" w:sz="6" w:space="0"/>
              <w:left w:val="single" w:color="000000" w:sz="6" w:space="0"/>
              <w:bottom w:val="single" w:color="000000" w:sz="6" w:space="0"/>
              <w:right w:val="single" w:color="000000" w:sz="6" w:space="0"/>
            </w:tcBorders>
            <w:shd w:val="clear" w:color="000000" w:fill="FFFFFF"/>
            <w:vAlign w:val="center"/>
          </w:tcPr>
          <w:p w14:paraId="0A4EE96A">
            <w:pPr>
              <w:autoSpaceDE w:val="0"/>
              <w:autoSpaceDN w:val="0"/>
              <w:spacing w:line="360" w:lineRule="auto"/>
              <w:rPr>
                <w:rFonts w:ascii="Arial" w:hAnsi="Arial" w:cs="Arial"/>
                <w:lang w:val="zh-CN"/>
              </w:rPr>
            </w:pPr>
            <w:r>
              <w:rPr>
                <w:rFonts w:ascii="Arial" w:hAnsi="Arial" w:cs="Arial"/>
                <w:bCs/>
                <w:sz w:val="24"/>
                <w:lang w:val="zh-CN"/>
              </w:rPr>
              <w:t>小写：</w:t>
            </w:r>
          </w:p>
        </w:tc>
        <w:tc>
          <w:tcPr>
            <w:tcW w:w="2129" w:type="dxa"/>
            <w:vMerge w:val="continue"/>
            <w:tcBorders>
              <w:left w:val="single" w:color="000000" w:sz="6" w:space="0"/>
              <w:bottom w:val="single" w:color="000000" w:sz="6" w:space="0"/>
              <w:right w:val="single" w:color="000000" w:sz="6" w:space="0"/>
            </w:tcBorders>
            <w:shd w:val="clear" w:color="000000" w:fill="FFFFFF"/>
            <w:vAlign w:val="center"/>
          </w:tcPr>
          <w:p w14:paraId="20D71E05">
            <w:pPr>
              <w:autoSpaceDE w:val="0"/>
              <w:autoSpaceDN w:val="0"/>
              <w:spacing w:line="360" w:lineRule="auto"/>
              <w:jc w:val="center"/>
              <w:rPr>
                <w:rFonts w:ascii="Arial" w:hAnsi="Arial" w:cs="Arial"/>
                <w:lang w:val="zh-CN"/>
              </w:rPr>
            </w:pPr>
          </w:p>
        </w:tc>
        <w:tc>
          <w:tcPr>
            <w:tcW w:w="1685" w:type="dxa"/>
            <w:vMerge w:val="continue"/>
            <w:tcBorders>
              <w:top w:val="single" w:color="000000" w:sz="6" w:space="0"/>
              <w:left w:val="single" w:color="000000" w:sz="6" w:space="0"/>
              <w:bottom w:val="single" w:color="000000" w:sz="6" w:space="0"/>
              <w:right w:val="single" w:color="000000" w:sz="6" w:space="0"/>
            </w:tcBorders>
            <w:shd w:val="clear" w:color="000000" w:fill="FFFFFF"/>
            <w:vAlign w:val="center"/>
          </w:tcPr>
          <w:p w14:paraId="6DC349CE">
            <w:pPr>
              <w:autoSpaceDE w:val="0"/>
              <w:autoSpaceDN w:val="0"/>
              <w:spacing w:line="360" w:lineRule="auto"/>
              <w:jc w:val="center"/>
              <w:rPr>
                <w:rFonts w:ascii="Arial" w:hAnsi="Arial" w:cs="Arial"/>
                <w:lang w:val="zh-CN"/>
              </w:rPr>
            </w:pPr>
          </w:p>
        </w:tc>
      </w:tr>
      <w:tr w14:paraId="6318B9B3">
        <w:tblPrEx>
          <w:tblCellMar>
            <w:top w:w="0" w:type="dxa"/>
            <w:left w:w="108" w:type="dxa"/>
            <w:bottom w:w="0" w:type="dxa"/>
            <w:right w:w="108" w:type="dxa"/>
          </w:tblCellMar>
        </w:tblPrEx>
        <w:trPr>
          <w:trHeight w:val="1283" w:hRule="atLeast"/>
          <w:jc w:val="center"/>
        </w:trPr>
        <w:tc>
          <w:tcPr>
            <w:tcW w:w="9505" w:type="dxa"/>
            <w:gridSpan w:val="4"/>
            <w:tcBorders>
              <w:top w:val="single" w:color="000000" w:sz="6" w:space="0"/>
              <w:left w:val="single" w:color="000000" w:sz="6" w:space="0"/>
              <w:bottom w:val="single" w:color="000000" w:sz="6" w:space="0"/>
              <w:right w:val="single" w:color="000000" w:sz="6" w:space="0"/>
            </w:tcBorders>
            <w:shd w:val="clear" w:color="000000" w:fill="FFFFFF"/>
          </w:tcPr>
          <w:p w14:paraId="318A6FCA">
            <w:pPr>
              <w:autoSpaceDE w:val="0"/>
              <w:autoSpaceDN w:val="0"/>
              <w:spacing w:line="360" w:lineRule="auto"/>
              <w:rPr>
                <w:rFonts w:ascii="Arial" w:hAnsi="Arial" w:cs="Arial"/>
                <w:lang w:val="zh-CN"/>
              </w:rPr>
            </w:pPr>
            <w:r>
              <w:rPr>
                <w:rFonts w:ascii="Arial" w:hAnsi="Arial" w:cs="Arial"/>
                <w:bCs/>
                <w:sz w:val="24"/>
                <w:lang w:val="zh-CN"/>
              </w:rPr>
              <w:t>优惠承诺及其他：</w:t>
            </w:r>
          </w:p>
        </w:tc>
      </w:tr>
    </w:tbl>
    <w:p w14:paraId="772B5E39">
      <w:pPr>
        <w:spacing w:line="360" w:lineRule="auto"/>
        <w:jc w:val="left"/>
        <w:rPr>
          <w:rFonts w:ascii="宋体" w:hAnsi="宋体" w:cs="宋体"/>
          <w:bCs/>
          <w:sz w:val="24"/>
        </w:rPr>
      </w:pPr>
      <w:r>
        <w:rPr>
          <w:rFonts w:hint="eastAsia" w:ascii="宋体" w:hAnsi="宋体" w:cs="宋体"/>
          <w:bCs/>
          <w:sz w:val="24"/>
        </w:rPr>
        <w:t>注：</w:t>
      </w:r>
      <w:r>
        <w:rPr>
          <w:rFonts w:hint="eastAsia" w:ascii="宋体" w:hAnsi="宋体" w:cs="宋体"/>
          <w:sz w:val="24"/>
          <w:szCs w:val="18"/>
        </w:rPr>
        <w:t>此表不需装订在响应文件中，供应商事先须盖章、签字。在磋商期间，由磋商小组确定合格的供应商填写完整、签字盖章后作为最终报价的附件上传至《政采云平台》</w:t>
      </w:r>
    </w:p>
    <w:p w14:paraId="2CB16B79">
      <w:pPr>
        <w:tabs>
          <w:tab w:val="left" w:pos="168"/>
        </w:tabs>
        <w:adjustRightInd w:val="0"/>
        <w:spacing w:line="360" w:lineRule="auto"/>
        <w:textAlignment w:val="baseline"/>
        <w:rPr>
          <w:rFonts w:ascii="宋体" w:hAnsi="宋体"/>
          <w:b/>
          <w:bCs/>
          <w:sz w:val="28"/>
        </w:rPr>
      </w:pPr>
    </w:p>
    <w:p w14:paraId="5E18E913">
      <w:pPr>
        <w:tabs>
          <w:tab w:val="left" w:pos="168"/>
        </w:tabs>
        <w:adjustRightInd w:val="0"/>
        <w:spacing w:line="360" w:lineRule="auto"/>
        <w:textAlignment w:val="baseline"/>
        <w:rPr>
          <w:rFonts w:ascii="宋体" w:hAnsi="宋体"/>
          <w:b/>
          <w:bCs/>
          <w:sz w:val="28"/>
        </w:rPr>
      </w:pPr>
    </w:p>
    <w:p w14:paraId="335ED5F5">
      <w:pPr>
        <w:tabs>
          <w:tab w:val="left" w:pos="168"/>
        </w:tabs>
        <w:adjustRightInd w:val="0"/>
        <w:spacing w:line="360" w:lineRule="auto"/>
        <w:textAlignment w:val="baseline"/>
        <w:rPr>
          <w:rFonts w:ascii="宋体" w:hAnsi="宋体"/>
          <w:b/>
          <w:bCs/>
          <w:sz w:val="28"/>
        </w:rPr>
      </w:pPr>
    </w:p>
    <w:p w14:paraId="49DC1151">
      <w:pPr>
        <w:tabs>
          <w:tab w:val="left" w:pos="168"/>
        </w:tabs>
        <w:adjustRightInd w:val="0"/>
        <w:spacing w:line="360" w:lineRule="auto"/>
        <w:textAlignment w:val="baseline"/>
        <w:rPr>
          <w:rFonts w:ascii="宋体" w:hAnsi="宋体"/>
          <w:b/>
          <w:bCs/>
          <w:sz w:val="28"/>
        </w:rPr>
      </w:pPr>
    </w:p>
    <w:p w14:paraId="6070307F">
      <w:pPr>
        <w:tabs>
          <w:tab w:val="left" w:pos="168"/>
        </w:tabs>
        <w:adjustRightInd w:val="0"/>
        <w:spacing w:line="360" w:lineRule="auto"/>
        <w:textAlignment w:val="baseline"/>
        <w:rPr>
          <w:rFonts w:ascii="宋体" w:hAnsi="宋体"/>
          <w:bCs/>
          <w:sz w:val="28"/>
          <w:szCs w:val="28"/>
        </w:rPr>
      </w:pPr>
    </w:p>
    <w:p w14:paraId="5ECBA769">
      <w:pPr>
        <w:spacing w:line="360" w:lineRule="auto"/>
        <w:jc w:val="right"/>
        <w:rPr>
          <w:rFonts w:ascii="宋体" w:hAnsi="宋体"/>
          <w:bCs/>
          <w:sz w:val="24"/>
          <w:szCs w:val="28"/>
        </w:rPr>
      </w:pPr>
      <w:r>
        <w:rPr>
          <w:rFonts w:hint="eastAsia" w:ascii="宋体" w:hAnsi="宋体"/>
          <w:bCs/>
          <w:sz w:val="24"/>
          <w:szCs w:val="28"/>
        </w:rPr>
        <w:t>供应商名称：             （公章）</w:t>
      </w:r>
    </w:p>
    <w:p w14:paraId="24065641">
      <w:pPr>
        <w:spacing w:line="360" w:lineRule="auto"/>
        <w:jc w:val="right"/>
        <w:rPr>
          <w:rFonts w:ascii="宋体" w:hAnsi="宋体"/>
          <w:bCs/>
          <w:sz w:val="24"/>
          <w:szCs w:val="28"/>
        </w:rPr>
      </w:pPr>
      <w:r>
        <w:rPr>
          <w:rFonts w:hint="eastAsia" w:ascii="宋体" w:hAnsi="宋体"/>
          <w:bCs/>
          <w:sz w:val="24"/>
          <w:szCs w:val="28"/>
        </w:rPr>
        <w:t>法定代表人或委托代理人：                 （签字或盖章）</w:t>
      </w:r>
    </w:p>
    <w:p w14:paraId="3A628AE0">
      <w:pPr>
        <w:spacing w:line="360" w:lineRule="auto"/>
        <w:jc w:val="right"/>
        <w:rPr>
          <w:rFonts w:ascii="宋体" w:hAnsi="宋体"/>
          <w:bCs/>
          <w:sz w:val="24"/>
          <w:szCs w:val="28"/>
        </w:rPr>
        <w:sectPr>
          <w:pgSz w:w="11906" w:h="16838"/>
          <w:pgMar w:top="1440" w:right="1080" w:bottom="1440" w:left="1080" w:header="567" w:footer="567" w:gutter="0"/>
          <w:pgNumType w:fmt="decimal"/>
          <w:cols w:space="720" w:num="1"/>
          <w:titlePg/>
          <w:docGrid w:linePitch="312" w:charSpace="0"/>
        </w:sectPr>
      </w:pPr>
      <w:r>
        <w:rPr>
          <w:rFonts w:hint="eastAsia" w:ascii="宋体" w:hAnsi="宋体"/>
          <w:bCs/>
          <w:sz w:val="24"/>
          <w:szCs w:val="28"/>
        </w:rPr>
        <w:t>日期：    年   月   日</w:t>
      </w:r>
    </w:p>
    <w:p w14:paraId="6518D3F9">
      <w:pPr>
        <w:pStyle w:val="24"/>
        <w:spacing w:before="0" w:after="0" w:line="360" w:lineRule="auto"/>
        <w:outlineLvl w:val="0"/>
        <w:rPr>
          <w:rFonts w:ascii="宋体" w:hAnsi="宋体"/>
          <w:sz w:val="48"/>
        </w:rPr>
      </w:pPr>
      <w:bookmarkStart w:id="441" w:name="_Toc7780"/>
      <w:bookmarkStart w:id="442" w:name="_Toc29404"/>
      <w:bookmarkStart w:id="443" w:name="_Toc10521"/>
      <w:bookmarkStart w:id="444" w:name="_Toc12458"/>
      <w:bookmarkStart w:id="445" w:name="_Toc444715745"/>
      <w:r>
        <w:rPr>
          <w:rFonts w:hint="eastAsia" w:ascii="宋体" w:hAnsi="宋体"/>
          <w:sz w:val="48"/>
        </w:rPr>
        <w:t>第五部分  采购项目要求及内容</w:t>
      </w:r>
      <w:bookmarkEnd w:id="441"/>
      <w:bookmarkEnd w:id="442"/>
      <w:bookmarkEnd w:id="443"/>
      <w:bookmarkEnd w:id="444"/>
      <w:bookmarkEnd w:id="445"/>
    </w:p>
    <w:p w14:paraId="52A7E480">
      <w:pPr>
        <w:pStyle w:val="4"/>
        <w:keepNext/>
        <w:keepLines/>
        <w:ind w:left="567" w:hanging="567"/>
        <w:jc w:val="center"/>
        <w:outlineLvl w:val="1"/>
        <w:rPr>
          <w:rFonts w:hAnsi="宋体"/>
          <w:b/>
          <w:bCs/>
          <w:kern w:val="0"/>
          <w:sz w:val="32"/>
          <w:szCs w:val="32"/>
        </w:rPr>
      </w:pPr>
      <w:bookmarkStart w:id="446" w:name="_Toc11763"/>
      <w:bookmarkStart w:id="447" w:name="_Toc428180595"/>
      <w:bookmarkStart w:id="448" w:name="_Toc20896"/>
      <w:r>
        <w:rPr>
          <w:rFonts w:hint="eastAsia" w:hAnsi="宋体"/>
          <w:b/>
          <w:bCs/>
          <w:kern w:val="0"/>
          <w:sz w:val="32"/>
          <w:szCs w:val="32"/>
        </w:rPr>
        <w:t>（一）磋商要求</w:t>
      </w:r>
      <w:bookmarkEnd w:id="446"/>
      <w:bookmarkEnd w:id="447"/>
      <w:bookmarkEnd w:id="448"/>
    </w:p>
    <w:p w14:paraId="47D50A4E">
      <w:pPr>
        <w:pStyle w:val="6"/>
        <w:spacing w:before="0" w:after="0" w:line="360" w:lineRule="auto"/>
        <w:outlineLvl w:val="2"/>
        <w:rPr>
          <w:rFonts w:ascii="宋体" w:hAnsi="宋体" w:cs="宋体"/>
          <w:bCs w:val="0"/>
        </w:rPr>
      </w:pPr>
      <w:bookmarkStart w:id="449" w:name="_Toc4177"/>
      <w:bookmarkStart w:id="450" w:name="_Toc7709"/>
      <w:bookmarkStart w:id="451" w:name="_Toc428180596"/>
      <w:bookmarkStart w:id="452" w:name="_Toc4309"/>
      <w:r>
        <w:rPr>
          <w:rFonts w:hint="eastAsia" w:ascii="宋体" w:hAnsi="宋体" w:cs="宋体"/>
          <w:bCs w:val="0"/>
        </w:rPr>
        <w:t>1.磋商说明</w:t>
      </w:r>
      <w:bookmarkEnd w:id="449"/>
      <w:bookmarkEnd w:id="450"/>
      <w:bookmarkEnd w:id="451"/>
      <w:bookmarkEnd w:id="452"/>
    </w:p>
    <w:p w14:paraId="756B1D87">
      <w:pPr>
        <w:autoSpaceDE w:val="0"/>
        <w:autoSpaceDN w:val="0"/>
        <w:adjustRightInd w:val="0"/>
        <w:spacing w:line="360" w:lineRule="auto"/>
        <w:ind w:firstLine="480" w:firstLineChars="200"/>
        <w:rPr>
          <w:rFonts w:ascii="宋体" w:cs="宋体"/>
          <w:kern w:val="0"/>
          <w:sz w:val="24"/>
          <w:lang w:val="zh-CN"/>
        </w:rPr>
      </w:pPr>
      <w:r>
        <w:rPr>
          <w:rFonts w:ascii="宋体" w:cs="宋体"/>
          <w:kern w:val="0"/>
          <w:sz w:val="24"/>
          <w:lang w:val="zh-CN"/>
        </w:rPr>
        <w:t>1.1.</w:t>
      </w:r>
      <w:r>
        <w:rPr>
          <w:rFonts w:hint="eastAsia" w:ascii="宋体" w:cs="宋体"/>
          <w:kern w:val="0"/>
          <w:sz w:val="24"/>
          <w:lang w:val="zh-CN"/>
        </w:rPr>
        <w:t>磋商供应商可以按照磋商文件的规定磋商，但必须对所投项目中的所有内容作为一个整体进行磋商，不能拆分或少报。否则，磋商无效。</w:t>
      </w:r>
    </w:p>
    <w:p w14:paraId="5A40C849">
      <w:pPr>
        <w:autoSpaceDE w:val="0"/>
        <w:autoSpaceDN w:val="0"/>
        <w:adjustRightInd w:val="0"/>
        <w:spacing w:line="360" w:lineRule="auto"/>
        <w:ind w:firstLine="480" w:firstLineChars="200"/>
        <w:rPr>
          <w:rFonts w:ascii="宋体" w:cs="宋体"/>
          <w:kern w:val="0"/>
          <w:sz w:val="24"/>
          <w:lang w:val="zh-CN"/>
        </w:rPr>
      </w:pPr>
      <w:r>
        <w:rPr>
          <w:rFonts w:ascii="宋体" w:cs="宋体"/>
          <w:kern w:val="0"/>
          <w:sz w:val="24"/>
          <w:lang w:val="zh-CN"/>
        </w:rPr>
        <w:t>1.2.</w:t>
      </w:r>
      <w:r>
        <w:rPr>
          <w:rFonts w:hint="eastAsia" w:ascii="宋体" w:cs="宋体"/>
          <w:kern w:val="0"/>
          <w:sz w:val="24"/>
          <w:lang w:val="zh-CN"/>
        </w:rPr>
        <w:t>磋商报价应包括</w:t>
      </w:r>
      <w:r>
        <w:rPr>
          <w:rFonts w:hint="eastAsia" w:ascii="宋体" w:hAnsi="宋体"/>
          <w:kern w:val="0"/>
          <w:sz w:val="24"/>
          <w:szCs w:val="28"/>
          <w:lang w:eastAsia="zh-CN"/>
        </w:rPr>
        <w:t>服务费、管理费、人员费、保险费、税金及其他不可预见费等全部费用</w:t>
      </w:r>
      <w:r>
        <w:rPr>
          <w:rFonts w:hint="eastAsia" w:ascii="宋体" w:hAnsi="宋体"/>
          <w:kern w:val="0"/>
          <w:sz w:val="24"/>
          <w:szCs w:val="28"/>
        </w:rPr>
        <w:t>。</w:t>
      </w:r>
      <w:r>
        <w:rPr>
          <w:rFonts w:hint="eastAsia" w:ascii="宋体" w:cs="宋体"/>
          <w:kern w:val="0"/>
          <w:sz w:val="24"/>
          <w:lang w:val="zh-CN"/>
        </w:rPr>
        <w:t xml:space="preserve">若磋商报价不能完全包括上述内容，该磋商将被认为非实质性响应。 </w:t>
      </w:r>
    </w:p>
    <w:p w14:paraId="3575FEE3">
      <w:pPr>
        <w:pStyle w:val="6"/>
        <w:spacing w:before="0" w:after="0" w:line="360" w:lineRule="auto"/>
        <w:outlineLvl w:val="2"/>
        <w:rPr>
          <w:rFonts w:ascii="宋体" w:hAnsi="宋体" w:cs="宋体"/>
          <w:bCs w:val="0"/>
        </w:rPr>
      </w:pPr>
      <w:bookmarkStart w:id="453" w:name="_Toc428180597"/>
      <w:bookmarkStart w:id="454" w:name="_Toc22905"/>
      <w:bookmarkStart w:id="455" w:name="_Toc16253"/>
      <w:bookmarkStart w:id="456" w:name="_Toc16821"/>
      <w:r>
        <w:rPr>
          <w:rFonts w:hint="eastAsia" w:ascii="宋体" w:hAnsi="宋体" w:cs="宋体"/>
          <w:bCs w:val="0"/>
        </w:rPr>
        <w:t>2.报价说明</w:t>
      </w:r>
      <w:bookmarkEnd w:id="453"/>
      <w:bookmarkEnd w:id="454"/>
      <w:bookmarkEnd w:id="455"/>
      <w:bookmarkEnd w:id="456"/>
    </w:p>
    <w:p w14:paraId="602D8CE5">
      <w:pPr>
        <w:autoSpaceDE w:val="0"/>
        <w:autoSpaceDN w:val="0"/>
        <w:adjustRightInd w:val="0"/>
        <w:spacing w:line="360" w:lineRule="auto"/>
        <w:ind w:firstLine="480"/>
        <w:rPr>
          <w:rFonts w:ascii="宋体" w:cs="宋体"/>
          <w:kern w:val="0"/>
          <w:sz w:val="24"/>
          <w:lang w:val="zh-CN"/>
        </w:rPr>
      </w:pPr>
      <w:r>
        <w:rPr>
          <w:rFonts w:hint="eastAsia" w:ascii="宋体" w:cs="宋体"/>
          <w:kern w:val="0"/>
          <w:sz w:val="24"/>
          <w:lang w:val="zh-CN"/>
        </w:rPr>
        <w:t>本次磋商文件中规定的采购预算额度为磋商最高限价，磋商供应商的磋商报价不得超出此额度。否则，磋商无效。</w:t>
      </w:r>
    </w:p>
    <w:p w14:paraId="76C8BB68">
      <w:pPr>
        <w:pStyle w:val="6"/>
        <w:spacing w:before="0" w:after="0" w:line="360" w:lineRule="auto"/>
        <w:outlineLvl w:val="2"/>
        <w:rPr>
          <w:rFonts w:ascii="宋体" w:hAnsi="宋体" w:cs="宋体"/>
          <w:bCs w:val="0"/>
        </w:rPr>
      </w:pPr>
      <w:bookmarkStart w:id="457" w:name="_Toc23510"/>
      <w:bookmarkStart w:id="458" w:name="_Toc428180599"/>
      <w:bookmarkStart w:id="459" w:name="_Toc14320"/>
      <w:bookmarkStart w:id="460" w:name="_Toc30749"/>
      <w:r>
        <w:rPr>
          <w:rFonts w:hint="eastAsia" w:ascii="宋体" w:hAnsi="宋体" w:cs="宋体"/>
          <w:bCs w:val="0"/>
        </w:rPr>
        <w:t>3.商务要求</w:t>
      </w:r>
      <w:bookmarkEnd w:id="457"/>
      <w:bookmarkEnd w:id="458"/>
      <w:bookmarkEnd w:id="459"/>
      <w:bookmarkEnd w:id="460"/>
    </w:p>
    <w:p w14:paraId="312805C0">
      <w:pPr>
        <w:autoSpaceDE w:val="0"/>
        <w:autoSpaceDN w:val="0"/>
        <w:adjustRightInd w:val="0"/>
        <w:spacing w:line="360" w:lineRule="auto"/>
        <w:ind w:firstLine="480" w:firstLineChars="200"/>
        <w:rPr>
          <w:rFonts w:hint="eastAsia" w:ascii="宋体" w:hAnsi="宋体" w:eastAsia="宋体"/>
          <w:sz w:val="24"/>
          <w:lang w:eastAsia="zh-CN"/>
        </w:rPr>
      </w:pPr>
      <w:bookmarkStart w:id="461" w:name="_Toc488673674"/>
      <w:r>
        <w:rPr>
          <w:rFonts w:ascii="宋体" w:cs="宋体"/>
          <w:kern w:val="0"/>
          <w:sz w:val="24"/>
          <w:lang w:val="zh-CN"/>
        </w:rPr>
        <w:t>3</w:t>
      </w:r>
      <w:r>
        <w:rPr>
          <w:rFonts w:ascii="宋体" w:cs="宋体"/>
          <w:color w:val="000000" w:themeColor="text1"/>
          <w:kern w:val="0"/>
          <w:sz w:val="24"/>
          <w:lang w:val="zh-CN"/>
          <w14:textFill>
            <w14:solidFill>
              <w14:schemeClr w14:val="tx1"/>
            </w14:solidFill>
          </w14:textFill>
        </w:rPr>
        <w:t>.1.</w:t>
      </w:r>
      <w:bookmarkEnd w:id="461"/>
      <w:r>
        <w:rPr>
          <w:rFonts w:hint="eastAsia" w:ascii="宋体" w:hAnsi="宋体"/>
          <w:color w:val="000000" w:themeColor="text1"/>
          <w:sz w:val="24"/>
          <w14:textFill>
            <w14:solidFill>
              <w14:schemeClr w14:val="tx1"/>
            </w14:solidFill>
          </w14:textFill>
        </w:rPr>
        <w:t>服务期：</w:t>
      </w:r>
      <w:r>
        <w:rPr>
          <w:rFonts w:hint="eastAsia" w:ascii="宋体" w:hAnsi="宋体" w:cs="宋体"/>
          <w:color w:val="000000" w:themeColor="text1"/>
          <w:kern w:val="0"/>
          <w:sz w:val="24"/>
          <w:lang w:eastAsia="zh-CN"/>
          <w14:textFill>
            <w14:solidFill>
              <w14:schemeClr w14:val="tx1"/>
            </w14:solidFill>
          </w14:textFill>
        </w:rPr>
        <w:t>自合同签订之日起一年；</w:t>
      </w:r>
    </w:p>
    <w:p w14:paraId="066198B4">
      <w:pPr>
        <w:spacing w:line="360" w:lineRule="auto"/>
        <w:ind w:firstLine="480" w:firstLineChars="200"/>
        <w:rPr>
          <w:rFonts w:ascii="宋体" w:cs="宋体"/>
          <w:kern w:val="0"/>
          <w:sz w:val="24"/>
          <w:lang w:val="zh-CN"/>
        </w:rPr>
      </w:pPr>
      <w:bookmarkStart w:id="462" w:name="_Toc488673676"/>
      <w:r>
        <w:rPr>
          <w:rFonts w:ascii="宋体" w:cs="宋体"/>
          <w:kern w:val="0"/>
          <w:sz w:val="24"/>
          <w:lang w:val="zh-CN"/>
        </w:rPr>
        <w:t>3</w:t>
      </w:r>
      <w:r>
        <w:rPr>
          <w:rFonts w:hint="eastAsia" w:ascii="宋体" w:cs="宋体"/>
          <w:kern w:val="0"/>
          <w:sz w:val="24"/>
          <w:lang w:val="zh-CN"/>
        </w:rPr>
        <w:t>.2.服务地点：</w:t>
      </w:r>
      <w:r>
        <w:rPr>
          <w:rFonts w:hint="eastAsia" w:ascii="宋体" w:cs="宋体"/>
          <w:color w:val="000000" w:themeColor="text1"/>
          <w:kern w:val="0"/>
          <w:sz w:val="24"/>
          <w:lang w:val="en-US" w:eastAsia="zh-CN"/>
          <w14:textFill>
            <w14:solidFill>
              <w14:schemeClr w14:val="tx1"/>
            </w14:solidFill>
          </w14:textFill>
        </w:rPr>
        <w:t>青海省养老服务中心</w:t>
      </w:r>
      <w:r>
        <w:rPr>
          <w:rFonts w:hint="eastAsia" w:ascii="宋体" w:cs="宋体"/>
          <w:color w:val="000000" w:themeColor="text1"/>
          <w:kern w:val="0"/>
          <w:sz w:val="24"/>
          <w:lang w:val="zh-CN"/>
          <w14:textFill>
            <w14:solidFill>
              <w14:schemeClr w14:val="tx1"/>
            </w14:solidFill>
          </w14:textFill>
        </w:rPr>
        <w:t>；</w:t>
      </w:r>
    </w:p>
    <w:p w14:paraId="6D1A6843">
      <w:pPr>
        <w:spacing w:line="360" w:lineRule="auto"/>
        <w:ind w:firstLine="480" w:firstLineChars="200"/>
        <w:rPr>
          <w:rFonts w:hint="eastAsia" w:ascii="宋体" w:hAnsi="宋体" w:eastAsia="宋体" w:cs="宋体"/>
          <w:kern w:val="0"/>
          <w:sz w:val="24"/>
          <w:lang w:eastAsia="zh-CN"/>
        </w:rPr>
      </w:pPr>
      <w:r>
        <w:rPr>
          <w:rFonts w:hint="eastAsia" w:ascii="宋体" w:cs="宋体"/>
          <w:kern w:val="0"/>
          <w:sz w:val="24"/>
        </w:rPr>
        <w:t>3.3</w:t>
      </w:r>
      <w:r>
        <w:rPr>
          <w:rFonts w:hint="eastAsia" w:ascii="宋体" w:cs="宋体"/>
          <w:kern w:val="0"/>
          <w:sz w:val="24"/>
          <w:lang w:val="zh-CN"/>
        </w:rPr>
        <w:t>付款方式：</w:t>
      </w:r>
      <w:bookmarkEnd w:id="462"/>
      <w:r>
        <w:rPr>
          <w:rFonts w:hint="eastAsia" w:ascii="宋体" w:hAnsi="宋体" w:cs="宋体"/>
          <w:kern w:val="0"/>
          <w:sz w:val="24"/>
          <w:lang w:eastAsia="zh-CN"/>
        </w:rPr>
        <w:t>根据合同约</w:t>
      </w:r>
      <w:r>
        <w:rPr>
          <w:rFonts w:hint="eastAsia" w:ascii="宋体" w:hAnsi="宋体" w:eastAsia="宋体" w:cs="宋体"/>
          <w:kern w:val="0"/>
          <w:sz w:val="24"/>
          <w:lang w:eastAsia="zh-CN"/>
        </w:rPr>
        <w:t>定的方式付款；</w:t>
      </w:r>
    </w:p>
    <w:p w14:paraId="396B936E">
      <w:pPr>
        <w:spacing w:line="360" w:lineRule="auto"/>
        <w:ind w:firstLine="480" w:firstLineChars="200"/>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3.4合同签订方式：本项目采取一次招标三年沿用、合同逐年签订，服务期每满一年，由采购方组织考核验收，合格后续签合同且续签合同的中标价不予调整，验收不合格则合同终止。服务期间被相关部门取消或注销《营业执照》的，合同自动终止，并且承担由此给采购方造成的损失。</w:t>
      </w:r>
    </w:p>
    <w:p w14:paraId="64D9E23A">
      <w:pPr>
        <w:spacing w:line="360" w:lineRule="auto"/>
        <w:ind w:firstLine="480" w:firstLineChars="200"/>
        <w:rPr>
          <w:rFonts w:hint="eastAsia" w:ascii="宋体" w:hAnsi="宋体" w:eastAsia="宋体" w:cs="宋体"/>
          <w:kern w:val="0"/>
          <w:sz w:val="24"/>
          <w:lang w:eastAsia="zh-CN"/>
        </w:rPr>
      </w:pPr>
    </w:p>
    <w:p w14:paraId="53E7C22E">
      <w:pPr>
        <w:rPr>
          <w:rFonts w:ascii="宋体" w:hAnsi="宋体"/>
          <w:sz w:val="24"/>
        </w:rPr>
      </w:pPr>
      <w:r>
        <w:rPr>
          <w:rFonts w:hint="eastAsia" w:ascii="宋体" w:hAnsi="宋体"/>
          <w:sz w:val="24"/>
        </w:rPr>
        <w:br w:type="page"/>
      </w:r>
    </w:p>
    <w:p w14:paraId="609CD749">
      <w:pPr>
        <w:pStyle w:val="4"/>
        <w:keepNext/>
        <w:keepLines/>
        <w:numPr>
          <w:ilvl w:val="0"/>
          <w:numId w:val="13"/>
        </w:numPr>
        <w:spacing w:line="360" w:lineRule="auto"/>
        <w:ind w:left="567" w:hanging="567"/>
        <w:jc w:val="center"/>
        <w:outlineLvl w:val="1"/>
        <w:rPr>
          <w:rFonts w:hAnsi="宋体"/>
          <w:b/>
          <w:bCs/>
          <w:color w:val="000000" w:themeColor="text1"/>
          <w:kern w:val="0"/>
          <w:sz w:val="32"/>
          <w:szCs w:val="32"/>
          <w14:textFill>
            <w14:solidFill>
              <w14:schemeClr w14:val="tx1"/>
            </w14:solidFill>
          </w14:textFill>
        </w:rPr>
      </w:pPr>
      <w:bookmarkStart w:id="463" w:name="_Toc20604"/>
      <w:bookmarkStart w:id="464" w:name="_Toc14938"/>
      <w:r>
        <w:rPr>
          <w:rFonts w:hint="eastAsia" w:hAnsi="宋体"/>
          <w:b/>
          <w:bCs/>
          <w:color w:val="000000" w:themeColor="text1"/>
          <w:kern w:val="0"/>
          <w:sz w:val="32"/>
          <w:szCs w:val="32"/>
          <w14:textFill>
            <w14:solidFill>
              <w14:schemeClr w14:val="tx1"/>
            </w14:solidFill>
          </w14:textFill>
        </w:rPr>
        <w:t>服务内容及要求</w:t>
      </w:r>
      <w:bookmarkEnd w:id="463"/>
      <w:bookmarkEnd w:id="464"/>
    </w:p>
    <w:p w14:paraId="0F73D1E3">
      <w:pPr>
        <w:bidi w:val="0"/>
        <w:spacing w:line="360" w:lineRule="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 、项目基本概况</w:t>
      </w:r>
    </w:p>
    <w:p w14:paraId="5DC4936F">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青海省养老服务中心位于西宁市城东区国家经济技术开发区开元路 9 号，建筑面积 30511.72㎡。为进一步提高省养老服务中心食堂服务质量，规范食堂管理，打造明厨亮灶，更好地满足入住老人的饮食需求。推进中心发挥省级示范性养老机构的标杆作用，推动养老服务工作的顺利开展。拟将中心食堂餐饮服务以对外承包的方式经营，委托服务质量高、专业资质优的餐饮公司对中心食 </w:t>
      </w:r>
    </w:p>
    <w:p w14:paraId="68E75F31">
      <w:pPr>
        <w:bidi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堂进行专业化、规范化管理。 </w:t>
      </w:r>
    </w:p>
    <w:p w14:paraId="0AB06098">
      <w:pPr>
        <w:bidi w:val="0"/>
        <w:spacing w:line="360" w:lineRule="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二、服务要求 </w:t>
      </w:r>
    </w:p>
    <w:p w14:paraId="1539395D">
      <w:pPr>
        <w:bidi w:val="0"/>
        <w:spacing w:line="360" w:lineRule="auto"/>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1.经营管理</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59CE7EAD">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 严格遵守食品经营许可要求，严格履行经营管理合约，遵守各项规章制度，服从并配合采购人管理工作；未经许可不得经营棋牌、娱乐等其它经营项目，严禁在承包区域内进行对外经营、举行文体活动或改做其它用途等。 </w:t>
      </w:r>
    </w:p>
    <w:p w14:paraId="42967BBF">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1.2 自主聘用、安排、管理厨师等服务人员，确保按采购人规定的时间准时开餐（无采购人通知不许提前开餐）。认真制定好食堂相关管理制度，各岗位人员均需持健康证明上岗，统一着装（含工作帽、口罩）上岗，且不许留长指甲和蓄胡须等；必须组织食堂工作人员每年进行一次体检，并将体检结果交采购人查验。 </w:t>
      </w:r>
    </w:p>
    <w:p w14:paraId="42865CD4">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1.3 着力打造明厨亮灶，负责搞好场地的卫生与维护，保持各区域的干净整洁。按采购人要求做好节约型食堂创建工作。 </w:t>
      </w:r>
    </w:p>
    <w:p w14:paraId="53501D14">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1.4 严格执行各类粮油、食材、调味品的采购、配送、验收制度。所购货品或原材料等食材须由正规的、有相应资质的供应商供应，且符合国家卫生标准，确保食材优质新鲜、来源可靠，可追溯，并保存购买票据，建立台账备查；所用植物油必须采用国标一级油品，所用动物油必须从正规渠道采购，或采用符合食品安全要求的新鲜食材自行加工，并确保加工过程卫生、安全。严禁使用地沟油等非法油品。 </w:t>
      </w:r>
    </w:p>
    <w:p w14:paraId="4D80906F">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1.5 定期接受菜品质量、卫生情况和服务质量的检查，并按规定留样。菜品原材料、半成品、成品要生熟分离，妥善存放；米、面、油等货品要按行业规定存放；蔬菜、果品等要按要求作消除农药残留处理。原材料要清洗干净再加工，确保饭菜无虫卵无杂物。炊具、桌椅、餐具及时清洗干净，且餐具在每次使用过后作消毒处理。冰箱、冰柜、消毒柜、冷柜等须定期清理清洗。要按照爱卫工作要求搞好除“四害”等工作。必须将每餐提供的菜品（含汤）取样存放冰箱保留 48 小时，以防发生食物中毒时便于取样化验，区分责任。若提供不洁净食物造成就餐人员身体不适或中毒，由成交供应商承担所有医疗费用及由此产生的所有法律责任，且采购人若要求立即终止合同，成交供应商必须无条件服从，并赔偿由此造成的全部经济损失。 </w:t>
      </w:r>
    </w:p>
    <w:p w14:paraId="24B27450">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1.6 各类菜式营养搭配、烹调与分餐，提供多项供餐服务。餐食必须按照要求提供，并根据季节等变化合理搭配饮食结构，且提前将菜单报送采购人。 </w:t>
      </w:r>
    </w:p>
    <w:p w14:paraId="7A87FD24">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1.7 开餐准时、保质、保量；若因成交供应商原因造成误餐或停餐，按合同约定进行处罚。 </w:t>
      </w:r>
    </w:p>
    <w:p w14:paraId="3614EA6D">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1.8 厨房及餐厅的消防隐患及食品卫生安全预防工作，搞好食堂员工的消防安全培训，如因成交供应商原因发生消防等安全事故，一切责任自行承担。 </w:t>
      </w:r>
    </w:p>
    <w:p w14:paraId="1C1AEB2E">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1.9 负责购买食堂运营所需的食材、餐具（采购人有要求的除外）、材料、劳保用品、卫生用具、天然气，负责厨房、餐厅设施设备（水、电、然气、取暖）的维修保养。 </w:t>
      </w:r>
    </w:p>
    <w:p w14:paraId="7C6295F7">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1.10 菜、米、油、酱、醋等不符合国家食品卫生标准或出现假冒伪劣产品，每发现一种（次）对成交供应商进行相应处罚，并对其产品进行销毁。 </w:t>
      </w:r>
    </w:p>
    <w:p w14:paraId="204D6D42">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1.11 对餐具未作消毒处理，按合同约定进行处罚。 </w:t>
      </w:r>
    </w:p>
    <w:p w14:paraId="6AD813EE">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1.12 若因员工原因，与就餐者发生争吵造成不良影响的，按合同约定进行处罚。 </w:t>
      </w:r>
    </w:p>
    <w:p w14:paraId="4017F01D">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1.13 随时接受相关部门的监督和改善建议。餐厅、厨房、储藏室等卫生保洁不到位引发投诉或经市监、卫健等行政主管部门检查不合格，按合同约定进行处罚。 </w:t>
      </w:r>
    </w:p>
    <w:p w14:paraId="1A3E7191">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1.14 合同期满后，不得要求采购人折价接受其在经营期内剩余的食物。 </w:t>
      </w:r>
    </w:p>
    <w:p w14:paraId="01ABA4B0">
      <w:pPr>
        <w:bidi w:val="0"/>
        <w:spacing w:line="360" w:lineRule="auto"/>
        <w:ind w:firstLine="482" w:firstLineChars="20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2.餐食标准 </w:t>
      </w:r>
    </w:p>
    <w:p w14:paraId="6E118237">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2.1 早餐：07:00-08:30；小菜：两道；主食：三道，两种以上流食。 </w:t>
      </w:r>
    </w:p>
    <w:p w14:paraId="7D2E7A45">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2.2 午餐：11:00-12:30；热菜四道，两荤两素；主食两道，汤类一道。 </w:t>
      </w:r>
    </w:p>
    <w:p w14:paraId="4517FE24">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2.3 加餐：早午各一次，水果、点心、饮品等。 </w:t>
      </w:r>
    </w:p>
    <w:p w14:paraId="70EB54F0">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2.4 晚餐：5:00-06:30；小菜两道；热菜两道，一荤一素；面食两道。 </w:t>
      </w:r>
    </w:p>
    <w:p w14:paraId="0D841A87">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2.5 节日餐、生日餐等。 </w:t>
      </w:r>
    </w:p>
    <w:p w14:paraId="45F784C7">
      <w:pPr>
        <w:bidi w:val="0"/>
        <w:spacing w:line="360" w:lineRule="auto"/>
        <w:ind w:firstLine="482" w:firstLineChars="20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3.费用结算 </w:t>
      </w:r>
    </w:p>
    <w:p w14:paraId="21C23B93">
      <w:pPr>
        <w:bidi w:val="0"/>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3.1 按每位老人每月 800 元伙食费计取，最终结算金额按实际入住人数为准。 </w:t>
      </w:r>
    </w:p>
    <w:p w14:paraId="01D6D0D7">
      <w:pPr>
        <w:bidi w:val="0"/>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3.2 成交的餐饮服务公司自行承担负责区域内水电气、取暖费等相关费用，采购人免费提供现有食堂用具及场地，包括职工宿舍。</w:t>
      </w:r>
    </w:p>
    <w:p w14:paraId="6B114BA7">
      <w:pPr>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p>
    <w:sectPr>
      <w:pgSz w:w="11906" w:h="16838"/>
      <w:pgMar w:top="1440" w:right="1080" w:bottom="1440" w:left="1080" w:header="567" w:footer="56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84199">
    <w:pPr>
      <w:pStyle w:val="21"/>
      <w:jc w:val="center"/>
      <w:rPr>
        <w:rFonts w:ascii="宋体" w:hAnsi="宋体"/>
      </w:rPr>
    </w:pPr>
    <w:r>
      <w:rPr>
        <w:rFonts w:hint="eastAsia" w:ascii="宋体" w:hAnsi="宋体"/>
      </w:rPr>
      <w:t>青海国德招标代理有限公司</w:t>
    </w:r>
  </w:p>
  <w:p w14:paraId="1AEA8F3D">
    <w:pPr>
      <w:pStyle w:val="21"/>
      <w:jc w:val="center"/>
      <w:rPr>
        <w:rFonts w:ascii="宋体" w:hAnsi="宋体"/>
      </w:rPr>
    </w:pPr>
    <w:r>
      <w:rPr>
        <w:rFonts w:hint="eastAsia" w:ascii="宋体" w:hAnsi="宋体" w:cs="宋体"/>
        <w:color w:val="000000"/>
      </w:rPr>
      <w:t>－</w:t>
    </w:r>
    <w:r>
      <w:rPr>
        <w:rFonts w:hint="eastAsia" w:ascii="宋体" w:hAnsi="宋体"/>
        <w:color w:val="000000"/>
      </w:rPr>
      <w:t>公开 公平 公正</w:t>
    </w:r>
    <w:r>
      <w:rPr>
        <w:rFonts w:hint="eastAsia" w:ascii="宋体" w:hAnsi="宋体" w:cs="宋体"/>
        <w:color w:val="000000"/>
      </w:rPr>
      <w:t>－</w:t>
    </w:r>
  </w:p>
  <w:p w14:paraId="76750CC6">
    <w:pPr>
      <w:pStyle w:val="21"/>
      <w:jc w:val="center"/>
      <w:rPr>
        <w:rFonts w:ascii="宋体" w:hAnsi="宋体"/>
      </w:rPr>
    </w:pPr>
    <w:r>
      <w:rPr>
        <w:rFonts w:hint="eastAsia" w:ascii="宋体" w:hAnsi="宋体"/>
      </w:rPr>
      <w:t>地址：青海省西宁市城西区胜利路25号万方城商务中心A座</w:t>
    </w:r>
  </w:p>
  <w:p w14:paraId="536D7A12">
    <w:pPr>
      <w:pStyle w:val="21"/>
      <w:jc w:val="center"/>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7BEEB">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A7792">
    <w:pPr>
      <w:pStyle w:val="21"/>
      <w:rPr>
        <w:rFonts w:hint="default"/>
        <w:lang w:val="en-US"/>
      </w:rPr>
    </w:pPr>
    <w:r>
      <w:rPr>
        <w:sz w:val="18"/>
      </w:rPr>
      <w:drawing>
        <wp:anchor distT="0" distB="0" distL="114300" distR="114300" simplePos="0" relativeHeight="251679744" behindDoc="0" locked="0" layoutInCell="1" allowOverlap="1">
          <wp:simplePos x="0" y="0"/>
          <wp:positionH relativeFrom="column">
            <wp:posOffset>5135880</wp:posOffset>
          </wp:positionH>
          <wp:positionV relativeFrom="paragraph">
            <wp:posOffset>136525</wp:posOffset>
          </wp:positionV>
          <wp:extent cx="724535" cy="733425"/>
          <wp:effectExtent l="0" t="0" r="18415" b="9525"/>
          <wp:wrapNone/>
          <wp:docPr id="34" name="图片 34" descr="W:/桌面/qrcode_for_gh_2cf3c6beb10b_258.jpgqrcode_for_gh_2cf3c6beb10b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W:/桌面/qrcode_for_gh_2cf3c6beb10b_258.jpgqrcode_for_gh_2cf3c6beb10b_258"/>
                  <pic:cNvPicPr>
                    <a:picLocks noChangeAspect="1"/>
                  </pic:cNvPicPr>
                </pic:nvPicPr>
                <pic:blipFill>
                  <a:blip r:embed="rId1"/>
                  <a:srcRect l="606" r="606"/>
                  <a:stretch>
                    <a:fillRect/>
                  </a:stretch>
                </pic:blipFill>
                <pic:spPr>
                  <a:xfrm>
                    <a:off x="0" y="0"/>
                    <a:ext cx="724535" cy="733425"/>
                  </a:xfrm>
                  <a:prstGeom prst="rect">
                    <a:avLst/>
                  </a:prstGeom>
                </pic:spPr>
              </pic:pic>
            </a:graphicData>
          </a:graphic>
        </wp:anchor>
      </w:drawing>
    </w:r>
    <w:r>
      <w:rPr>
        <w:sz w:val="18"/>
      </w:rPr>
      <mc:AlternateContent>
        <mc:Choice Requires="wps">
          <w:drawing>
            <wp:anchor distT="0" distB="0" distL="114300" distR="114300" simplePos="0" relativeHeight="251673600" behindDoc="0" locked="0" layoutInCell="1" allowOverlap="1">
              <wp:simplePos x="0" y="0"/>
              <wp:positionH relativeFrom="column">
                <wp:posOffset>189230</wp:posOffset>
              </wp:positionH>
              <wp:positionV relativeFrom="paragraph">
                <wp:posOffset>113665</wp:posOffset>
              </wp:positionV>
              <wp:extent cx="5582920" cy="572135"/>
              <wp:effectExtent l="0" t="0" r="0" b="0"/>
              <wp:wrapNone/>
              <wp:docPr id="36" name="文本框 14"/>
              <wp:cNvGraphicFramePr/>
              <a:graphic xmlns:a="http://schemas.openxmlformats.org/drawingml/2006/main">
                <a:graphicData uri="http://schemas.microsoft.com/office/word/2010/wordprocessingShape">
                  <wps:wsp>
                    <wps:cNvSpPr txBox="1"/>
                    <wps:spPr>
                      <a:xfrm>
                        <a:off x="0" y="0"/>
                        <a:ext cx="5582920" cy="572135"/>
                      </a:xfrm>
                      <a:prstGeom prst="rect">
                        <a:avLst/>
                      </a:prstGeom>
                      <a:noFill/>
                      <a:ln w="15875">
                        <a:noFill/>
                      </a:ln>
                    </wps:spPr>
                    <wps:txbx>
                      <w:txbxContent>
                        <w:p w14:paraId="3BCD757B">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outlineLvl w:val="9"/>
                            <w:rPr>
                              <w:rFonts w:hint="eastAsia" w:ascii="微软雅黑" w:hAnsi="微软雅黑" w:eastAsia="微软雅黑" w:cs="微软雅黑"/>
                              <w:b w:val="0"/>
                              <w:i w:val="0"/>
                              <w:caps w:val="0"/>
                              <w:color w:val="000000"/>
                              <w:spacing w:val="0"/>
                              <w:sz w:val="18"/>
                              <w:szCs w:val="18"/>
                              <w:u w:val="none"/>
                              <w:shd w:val="clear" w:color="auto" w:fill="FFFFFF"/>
                              <w:lang w:val="en-US" w:eastAsia="zh-CN"/>
                            </w:rPr>
                          </w:pP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0971</w:t>
                          </w:r>
                          <w:r>
                            <w:rPr>
                              <w:rFonts w:hint="eastAsia" w:ascii="微软雅黑" w:hAnsi="微软雅黑" w:eastAsia="微软雅黑" w:cs="微软雅黑"/>
                              <w:b w:val="0"/>
                              <w:i w:val="0"/>
                              <w:caps w:val="0"/>
                              <w:color w:val="000000"/>
                              <w:spacing w:val="0"/>
                              <w:sz w:val="18"/>
                              <w:szCs w:val="18"/>
                              <w:u w:val="none"/>
                              <w:shd w:val="clear" w:color="auto" w:fill="FFFFFF"/>
                            </w:rPr>
                            <w:t>-</w:t>
                          </w: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 xml:space="preserve">8278117       guode@guodezhaobiao.com      www.guodezhaobiao.com   </w:t>
                          </w:r>
                        </w:p>
                        <w:p w14:paraId="36CBFF6B">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r>
                            <w:rPr>
                              <w:rFonts w:hint="eastAsia" w:ascii="微软雅黑" w:hAnsi="微软雅黑" w:eastAsia="微软雅黑" w:cs="微软雅黑"/>
                              <w:b w:val="0"/>
                              <w:i w:val="0"/>
                              <w:caps w:val="0"/>
                              <w:color w:val="000000"/>
                              <w:spacing w:val="0"/>
                              <w:sz w:val="18"/>
                              <w:szCs w:val="18"/>
                              <w:shd w:val="clear" w:color="auto" w:fill="FFFFFF"/>
                              <w:lang w:val="en-US" w:eastAsia="zh-CN"/>
                            </w:rPr>
                            <w:t xml:space="preserve">青海省西宁市城东区建国大街57号新千国际广场东区2号写字楼13楼  </w:t>
                          </w:r>
                        </w:p>
                        <w:p w14:paraId="3BEA5EF5">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p>
                      </w:txbxContent>
                    </wps:txbx>
                    <wps:bodyPr vert="horz" wrap="square" anchor="t" upright="1"/>
                  </wps:wsp>
                </a:graphicData>
              </a:graphic>
            </wp:anchor>
          </w:drawing>
        </mc:Choice>
        <mc:Fallback>
          <w:pict>
            <v:shape id="文本框 14" o:spid="_x0000_s1026" o:spt="202" type="#_x0000_t202" style="position:absolute;left:0pt;margin-left:14.9pt;margin-top:8.95pt;height:45.05pt;width:439.6pt;z-index:251673600;mso-width-relative:page;mso-height-relative:page;" filled="f" stroked="f" coordsize="21600,21600" o:gfxdata="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e2td12gAAAAkBAAAPAAAAAAAAAAEAIAAA&#10;ACIAAABkcnMvZG93bnJldi54bWxQSwECFAAUAAAACACHTuJAnAPqatEBAAB/AwAADgAAAAAAAAAB&#10;ACAAAAApAQAAZHJzL2Uyb0RvYy54bWxQSwUGAAAAAAYABgBZAQAAbAUAAAAA&#10;">
              <v:fill on="f" focussize="0,0"/>
              <v:stroke on="f" weight="1.25pt"/>
              <v:imagedata o:title=""/>
              <o:lock v:ext="edit" aspectratio="f"/>
              <v:textbox>
                <w:txbxContent>
                  <w:p w14:paraId="3BCD757B">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outlineLvl w:val="9"/>
                      <w:rPr>
                        <w:rFonts w:hint="eastAsia" w:ascii="微软雅黑" w:hAnsi="微软雅黑" w:eastAsia="微软雅黑" w:cs="微软雅黑"/>
                        <w:b w:val="0"/>
                        <w:i w:val="0"/>
                        <w:caps w:val="0"/>
                        <w:color w:val="000000"/>
                        <w:spacing w:val="0"/>
                        <w:sz w:val="18"/>
                        <w:szCs w:val="18"/>
                        <w:u w:val="none"/>
                        <w:shd w:val="clear" w:color="auto" w:fill="FFFFFF"/>
                        <w:lang w:val="en-US" w:eastAsia="zh-CN"/>
                      </w:rPr>
                    </w:pP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0971</w:t>
                    </w:r>
                    <w:r>
                      <w:rPr>
                        <w:rFonts w:hint="eastAsia" w:ascii="微软雅黑" w:hAnsi="微软雅黑" w:eastAsia="微软雅黑" w:cs="微软雅黑"/>
                        <w:b w:val="0"/>
                        <w:i w:val="0"/>
                        <w:caps w:val="0"/>
                        <w:color w:val="000000"/>
                        <w:spacing w:val="0"/>
                        <w:sz w:val="18"/>
                        <w:szCs w:val="18"/>
                        <w:u w:val="none"/>
                        <w:shd w:val="clear" w:color="auto" w:fill="FFFFFF"/>
                      </w:rPr>
                      <w:t>-</w:t>
                    </w: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 xml:space="preserve">8278117       guode@guodezhaobiao.com      www.guodezhaobiao.com   </w:t>
                    </w:r>
                  </w:p>
                  <w:p w14:paraId="36CBFF6B">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r>
                      <w:rPr>
                        <w:rFonts w:hint="eastAsia" w:ascii="微软雅黑" w:hAnsi="微软雅黑" w:eastAsia="微软雅黑" w:cs="微软雅黑"/>
                        <w:b w:val="0"/>
                        <w:i w:val="0"/>
                        <w:caps w:val="0"/>
                        <w:color w:val="000000"/>
                        <w:spacing w:val="0"/>
                        <w:sz w:val="18"/>
                        <w:szCs w:val="18"/>
                        <w:shd w:val="clear" w:color="auto" w:fill="FFFFFF"/>
                        <w:lang w:val="en-US" w:eastAsia="zh-CN"/>
                      </w:rPr>
                      <w:t xml:space="preserve">青海省西宁市城东区建国大街57号新千国际广场东区2号写字楼13楼  </w:t>
                    </w:r>
                  </w:p>
                  <w:p w14:paraId="3BEA5EF5">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p>
                </w:txbxContent>
              </v:textbox>
            </v:shape>
          </w:pict>
        </mc:Fallback>
      </mc:AlternateContent>
    </w:r>
    <w:r>
      <w:rPr>
        <w:rFonts w:hint="eastAsia"/>
        <w:u w:val="single"/>
        <w:lang w:val="en-US" w:eastAsia="zh-CN"/>
      </w:rPr>
      <w:t xml:space="preserve">                                                                                                        </w:t>
    </w:r>
  </w:p>
  <w:p w14:paraId="53A1E177">
    <w:pPr>
      <w:pStyle w:val="21"/>
    </w:pPr>
    <w:r>
      <w:rPr>
        <w:sz w:val="18"/>
      </w:rPr>
      <mc:AlternateContent>
        <mc:Choice Requires="wpg">
          <w:drawing>
            <wp:anchor distT="0" distB="0" distL="114300" distR="114300" simplePos="0" relativeHeight="251675648" behindDoc="0" locked="0" layoutInCell="1" allowOverlap="1">
              <wp:simplePos x="0" y="0"/>
              <wp:positionH relativeFrom="column">
                <wp:posOffset>3168015</wp:posOffset>
              </wp:positionH>
              <wp:positionV relativeFrom="paragraph">
                <wp:posOffset>108585</wp:posOffset>
              </wp:positionV>
              <wp:extent cx="179070" cy="160020"/>
              <wp:effectExtent l="0" t="0" r="11430" b="11430"/>
              <wp:wrapNone/>
              <wp:docPr id="37" name="组合 28"/>
              <wp:cNvGraphicFramePr/>
              <a:graphic xmlns:a="http://schemas.openxmlformats.org/drawingml/2006/main">
                <a:graphicData uri="http://schemas.microsoft.com/office/word/2010/wordprocessingGroup">
                  <wpg:wgp>
                    <wpg:cNvGrpSpPr/>
                    <wpg:grpSpPr>
                      <a:xfrm>
                        <a:off x="0" y="0"/>
                        <a:ext cx="179070" cy="160020"/>
                        <a:chOff x="2998" y="15759"/>
                        <a:chExt cx="282" cy="252"/>
                      </a:xfrm>
                    </wpg:grpSpPr>
                    <wpg:grpSp>
                      <wpg:cNvPr id="38" name="组合 8"/>
                      <wpg:cNvGrpSpPr/>
                      <wpg:grpSpPr>
                        <a:xfrm>
                          <a:off x="2998" y="15759"/>
                          <a:ext cx="283" cy="253"/>
                          <a:chOff x="4174" y="6177"/>
                          <a:chExt cx="1074" cy="960"/>
                        </a:xfrm>
                      </wpg:grpSpPr>
                      <wps:wsp>
                        <wps:cNvPr id="39" name="圆角矩形 1"/>
                        <wps:cNvSpPr/>
                        <wps:spPr>
                          <a:xfrm>
                            <a:off x="4174" y="6177"/>
                            <a:ext cx="1074" cy="798"/>
                          </a:xfrm>
                          <a:prstGeom prst="roundRect">
                            <a:avLst>
                              <a:gd name="adj" fmla="val 9301"/>
                            </a:avLst>
                          </a:prstGeom>
                          <a:solidFill>
                            <a:srgbClr val="808080"/>
                          </a:solidFill>
                          <a:ln w="25400">
                            <a:noFill/>
                          </a:ln>
                        </wps:spPr>
                        <wps:bodyPr vert="horz" wrap="square" anchor="ctr" upright="1"/>
                      </wps:wsp>
                      <wps:wsp>
                        <wps:cNvPr id="40" name="矩形 3"/>
                        <wps:cNvSpPr/>
                        <wps:spPr>
                          <a:xfrm>
                            <a:off x="4564" y="6953"/>
                            <a:ext cx="313" cy="119"/>
                          </a:xfrm>
                          <a:prstGeom prst="rect">
                            <a:avLst/>
                          </a:prstGeom>
                          <a:solidFill>
                            <a:srgbClr val="808080"/>
                          </a:solidFill>
                          <a:ln w="25400">
                            <a:noFill/>
                          </a:ln>
                        </wps:spPr>
                        <wps:bodyPr vert="horz" wrap="square" anchor="ctr" upright="1"/>
                      </wps:wsp>
                      <wps:wsp>
                        <wps:cNvPr id="41" name="等腰三角形 4"/>
                        <wps:cNvSpPr/>
                        <wps:spPr>
                          <a:xfrm>
                            <a:off x="4481" y="6927"/>
                            <a:ext cx="479" cy="211"/>
                          </a:xfrm>
                          <a:prstGeom prst="triangle">
                            <a:avLst>
                              <a:gd name="adj" fmla="val 51148"/>
                            </a:avLst>
                          </a:prstGeom>
                          <a:solidFill>
                            <a:srgbClr val="808080"/>
                          </a:solidFill>
                          <a:ln w="25400">
                            <a:noFill/>
                          </a:ln>
                        </wps:spPr>
                        <wps:bodyPr vert="horz" wrap="square" anchor="ctr" upright="1"/>
                      </wps:wsp>
                    </wpg:grpSp>
                    <wps:wsp>
                      <wps:cNvPr id="42" name="矩形 2"/>
                      <wps:cNvSpPr/>
                      <wps:spPr>
                        <a:xfrm>
                          <a:off x="3016" y="15777"/>
                          <a:ext cx="248" cy="174"/>
                        </a:xfrm>
                        <a:prstGeom prst="rect">
                          <a:avLst/>
                        </a:prstGeom>
                        <a:solidFill>
                          <a:srgbClr val="FFFFFF"/>
                        </a:solidFill>
                        <a:ln w="25400">
                          <a:noFill/>
                        </a:ln>
                      </wps:spPr>
                      <wps:bodyPr vert="horz" wrap="square" anchor="ctr" upright="1"/>
                    </wps:wsp>
                  </wpg:wgp>
                </a:graphicData>
              </a:graphic>
            </wp:anchor>
          </w:drawing>
        </mc:Choice>
        <mc:Fallback>
          <w:pict>
            <v:group id="组合 28" o:spid="_x0000_s1026" o:spt="203" style="position:absolute;left:0pt;margin-left:249.45pt;margin-top:8.55pt;height:12.6pt;width:14.1pt;z-index:251675648;mso-width-relative:page;mso-height-relative:page;" coordorigin="2998,15759" coordsize="282,252" o:gfxdata="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CZ+a+zZAAAACQEAAA8AAAAAAAAAAQAgAAAAIgAAAGRycy9kb3ducmV2&#10;LnhtbFBLAQIUABQAAAAIAIdO4kBCwtdyUQMAAHsLAAAOAAAAAAAAAAEAIAAAACgBAABkcnMvZTJv&#10;RG9jLnhtbFBLBQYAAAAABgAGAFkBAADrBgAAAAA=&#10;">
              <o:lock v:ext="edit" aspectratio="f"/>
              <v:group id="组合 8" o:spid="_x0000_s1026" o:spt="203" style="position:absolute;left:2998;top:15759;height:253;width:283;" coordorigin="4174,6177" coordsize="1074,960"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roundrect id="圆角矩形 1" o:spid="_x0000_s1026" o:spt="2" style="position:absolute;left:4174;top:6177;height:798;width:1074;v-text-anchor:middle;" fillcolor="#808080" filled="t" stroked="f" coordsize="21600,21600" arcsize="0.0930092592592592" o:gfxdata="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mTPHb4A&#10;AADbAAAADwAAAAAAAAABACAAAAAiAAAAZHJzL2Rvd25yZXYueG1sUEsBAhQAFAAAAAgAh07iQDMv&#10;BZ47AAAAOQAAABAAAAAAAAAAAQAgAAAADQEAAGRycy9zaGFwZXhtbC54bWxQSwUGAAAAAAYABgBb&#10;AQAAtwMAAAAA&#10;">
                  <v:fill on="t" focussize="0,0"/>
                  <v:stroke on="f" weight="2pt"/>
                  <v:imagedata o:title=""/>
                  <o:lock v:ext="edit" aspectratio="f"/>
                </v:roundrect>
                <v:rect id="矩形 3" o:spid="_x0000_s1026" o:spt="1" style="position:absolute;left:4564;top:6953;height:119;width:313;v-text-anchor:middle;" fillcolor="#808080" filled="t" stroked="f" coordsize="21600,21600" o:gfxdata="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QjcsG5AAAA2wAA&#10;AA8AAAAAAAAAAQAgAAAAIgAAAGRycy9kb3ducmV2LnhtbFBLAQIUABQAAAAIAIdO4kAzLwWeOwAA&#10;ADkAAAAQAAAAAAAAAAEAIAAAAAgBAABkcnMvc2hhcGV4bWwueG1sUEsFBgAAAAAGAAYAWwEAALID&#10;AAAAAA==&#10;">
                  <v:fill on="t" focussize="0,0"/>
                  <v:stroke on="f" weight="2pt"/>
                  <v:imagedata o:title=""/>
                  <o:lock v:ext="edit" aspectratio="f"/>
                </v:rect>
                <v:shape id="等腰三角形 4" o:spid="_x0000_s1026" o:spt="5" type="#_x0000_t5" style="position:absolute;left:4481;top:6927;height:211;width:479;v-text-anchor:middle;" fillcolor="#808080" filled="t" stroked="f" coordsize="21600,21600" o:gfxdata="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fazS8AAAA&#10;2wAAAA8AAAAAAAAAAQAgAAAAIgAAAGRycy9kb3ducmV2LnhtbFBLAQIUABQAAAAIAIdO4kAzLwWe&#10;OwAAADkAAAAQAAAAAAAAAAEAIAAAAAsBAABkcnMvc2hhcGV4bWwueG1sUEsFBgAAAAAGAAYAWwEA&#10;ALUDAAAAAA==&#10;" adj="11048">
                  <v:fill on="t" focussize="0,0"/>
                  <v:stroke on="f" weight="2pt"/>
                  <v:imagedata o:title=""/>
                  <o:lock v:ext="edit" aspectratio="f"/>
                </v:shape>
              </v:group>
              <v:rect id="矩形 2" o:spid="_x0000_s1026" o:spt="1" style="position:absolute;left:3016;top:15777;height:174;width:248;v-text-anchor:middle;" fillcolor="#FFFFFF" filled="t" stroked="f" coordsize="21600,21600" o:gfxdata="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S8ziugAAANsA&#10;AAAPAAAAAAAAAAEAIAAAACIAAABkcnMvZG93bnJldi54bWxQSwECFAAUAAAACACHTuJAMy8FnjsA&#10;AAA5AAAAEAAAAAAAAAABACAAAAAJAQAAZHJzL3NoYXBleG1sLnhtbFBLBQYAAAAABgAGAFsBAACz&#10;AwAAAAA=&#10;">
                <v:fill on="t" focussize="0,0"/>
                <v:stroke on="f" weight="2pt"/>
                <v:imagedata o:title=""/>
                <o:lock v:ext="edit" aspectratio="f"/>
              </v:rect>
            </v:group>
          </w:pict>
        </mc:Fallback>
      </mc:AlternateContent>
    </w:r>
    <w:r>
      <w:rPr>
        <w:sz w:val="18"/>
      </w:rPr>
      <mc:AlternateContent>
        <mc:Choice Requires="wpg">
          <w:drawing>
            <wp:anchor distT="0" distB="0" distL="114300" distR="114300" simplePos="0" relativeHeight="251677696" behindDoc="0" locked="0" layoutInCell="1" allowOverlap="1">
              <wp:simplePos x="0" y="0"/>
              <wp:positionH relativeFrom="column">
                <wp:posOffset>1229995</wp:posOffset>
              </wp:positionH>
              <wp:positionV relativeFrom="paragraph">
                <wp:posOffset>118745</wp:posOffset>
              </wp:positionV>
              <wp:extent cx="194310" cy="139065"/>
              <wp:effectExtent l="0" t="0" r="15240" b="13335"/>
              <wp:wrapNone/>
              <wp:docPr id="43" name="组合 32"/>
              <wp:cNvGraphicFramePr/>
              <a:graphic xmlns:a="http://schemas.openxmlformats.org/drawingml/2006/main">
                <a:graphicData uri="http://schemas.microsoft.com/office/word/2010/wordprocessingGroup">
                  <wpg:wgp>
                    <wpg:cNvGrpSpPr/>
                    <wpg:grpSpPr>
                      <a:xfrm>
                        <a:off x="0" y="0"/>
                        <a:ext cx="194310" cy="139065"/>
                        <a:chOff x="4310" y="15755"/>
                        <a:chExt cx="306" cy="219"/>
                      </a:xfrm>
                    </wpg:grpSpPr>
                    <wps:wsp>
                      <wps:cNvPr id="44" name="任意多边形 24"/>
                      <wps:cNvSpPr/>
                      <wps:spPr>
                        <a:xfrm>
                          <a:off x="4310" y="15772"/>
                          <a:ext cx="306" cy="202"/>
                        </a:xfrm>
                        <a:custGeom>
                          <a:avLst/>
                          <a:gdLst/>
                          <a:ahLst/>
                          <a:cxnLst>
                            <a:cxn ang="0">
                              <a:pos x="268" y="0"/>
                            </a:cxn>
                            <a:cxn ang="0">
                              <a:pos x="3643" y="2850"/>
                            </a:cxn>
                            <a:cxn ang="0">
                              <a:pos x="3815" y="3000"/>
                            </a:cxn>
                            <a:cxn ang="0">
                              <a:pos x="4061" y="3054"/>
                            </a:cxn>
                            <a:cxn ang="0">
                              <a:pos x="4372" y="3011"/>
                            </a:cxn>
                            <a:cxn ang="0">
                              <a:pos x="4586" y="2850"/>
                            </a:cxn>
                            <a:cxn ang="0">
                              <a:pos x="7843" y="97"/>
                            </a:cxn>
                            <a:cxn ang="0">
                              <a:pos x="8004" y="0"/>
                            </a:cxn>
                            <a:cxn ang="0">
                              <a:pos x="8207" y="22"/>
                            </a:cxn>
                            <a:cxn ang="0">
                              <a:pos x="8240" y="150"/>
                            </a:cxn>
                            <a:cxn ang="0">
                              <a:pos x="8218" y="5025"/>
                            </a:cxn>
                            <a:cxn ang="0">
                              <a:pos x="8165" y="5218"/>
                            </a:cxn>
                            <a:cxn ang="0">
                              <a:pos x="8015" y="5357"/>
                            </a:cxn>
                            <a:cxn ang="0">
                              <a:pos x="7822" y="5432"/>
                            </a:cxn>
                            <a:cxn ang="0">
                              <a:pos x="472" y="5432"/>
                            </a:cxn>
                            <a:cxn ang="0">
                              <a:pos x="300" y="5389"/>
                            </a:cxn>
                            <a:cxn ang="0">
                              <a:pos x="150" y="5250"/>
                            </a:cxn>
                            <a:cxn ang="0">
                              <a:pos x="54" y="5057"/>
                            </a:cxn>
                            <a:cxn ang="0">
                              <a:pos x="0" y="4843"/>
                            </a:cxn>
                            <a:cxn ang="0">
                              <a:pos x="0" y="4597"/>
                            </a:cxn>
                            <a:cxn ang="0">
                              <a:pos x="0" y="172"/>
                            </a:cxn>
                            <a:cxn ang="0">
                              <a:pos x="43" y="54"/>
                            </a:cxn>
                            <a:cxn ang="0">
                              <a:pos x="172" y="0"/>
                            </a:cxn>
                            <a:cxn ang="0">
                              <a:pos x="268" y="0"/>
                            </a:cxn>
                          </a:cxnLst>
                          <a:pathLst>
                            <a:path w="5232400" h="3449320">
                              <a:moveTo>
                                <a:pt x="170180" y="0"/>
                              </a:moveTo>
                              <a:lnTo>
                                <a:pt x="2313305" y="1809750"/>
                              </a:lnTo>
                              <a:lnTo>
                                <a:pt x="2422525" y="1905000"/>
                              </a:lnTo>
                              <a:lnTo>
                                <a:pt x="2578735" y="1939290"/>
                              </a:lnTo>
                              <a:lnTo>
                                <a:pt x="2776220" y="1911985"/>
                              </a:lnTo>
                              <a:lnTo>
                                <a:pt x="2912110" y="1809750"/>
                              </a:lnTo>
                              <a:lnTo>
                                <a:pt x="4980305" y="61595"/>
                              </a:lnTo>
                              <a:lnTo>
                                <a:pt x="5082540" y="0"/>
                              </a:lnTo>
                              <a:lnTo>
                                <a:pt x="5211445" y="13970"/>
                              </a:lnTo>
                              <a:lnTo>
                                <a:pt x="5232400" y="95250"/>
                              </a:lnTo>
                              <a:lnTo>
                                <a:pt x="5218430" y="3190875"/>
                              </a:lnTo>
                              <a:lnTo>
                                <a:pt x="5184775" y="3313430"/>
                              </a:lnTo>
                              <a:lnTo>
                                <a:pt x="5089525" y="3401695"/>
                              </a:lnTo>
                              <a:lnTo>
                                <a:pt x="4966970" y="3449320"/>
                              </a:lnTo>
                              <a:lnTo>
                                <a:pt x="299720" y="3449320"/>
                              </a:lnTo>
                              <a:lnTo>
                                <a:pt x="190500" y="3422015"/>
                              </a:lnTo>
                              <a:lnTo>
                                <a:pt x="95250" y="3333750"/>
                              </a:lnTo>
                              <a:lnTo>
                                <a:pt x="34290" y="3211195"/>
                              </a:lnTo>
                              <a:lnTo>
                                <a:pt x="0" y="3075305"/>
                              </a:lnTo>
                              <a:lnTo>
                                <a:pt x="0" y="2919095"/>
                              </a:lnTo>
                              <a:lnTo>
                                <a:pt x="0" y="109220"/>
                              </a:lnTo>
                              <a:lnTo>
                                <a:pt x="27305" y="34290"/>
                              </a:lnTo>
                              <a:lnTo>
                                <a:pt x="109220" y="0"/>
                              </a:lnTo>
                              <a:lnTo>
                                <a:pt x="170180" y="0"/>
                              </a:lnTo>
                              <a:close/>
                            </a:path>
                          </a:pathLst>
                        </a:custGeom>
                        <a:solidFill>
                          <a:srgbClr val="808080"/>
                        </a:solidFill>
                        <a:ln w="25400">
                          <a:noFill/>
                        </a:ln>
                      </wps:spPr>
                      <wps:bodyPr vert="horz" wrap="square" anchor="t" upright="1"/>
                    </wps:wsp>
                    <wps:wsp>
                      <wps:cNvPr id="45" name="任意多边形 26"/>
                      <wps:cNvSpPr/>
                      <wps:spPr>
                        <a:xfrm>
                          <a:off x="4330" y="15755"/>
                          <a:ext cx="265" cy="92"/>
                        </a:xfrm>
                        <a:custGeom>
                          <a:avLst/>
                          <a:gdLst/>
                          <a:ahLst/>
                          <a:cxnLst>
                            <a:cxn ang="0">
                              <a:pos x="129" y="0"/>
                            </a:cxn>
                            <a:cxn ang="0">
                              <a:pos x="6889" y="0"/>
                            </a:cxn>
                            <a:cxn ang="0">
                              <a:pos x="7039" y="22"/>
                            </a:cxn>
                            <a:cxn ang="0">
                              <a:pos x="7146" y="97"/>
                            </a:cxn>
                            <a:cxn ang="0">
                              <a:pos x="7146" y="204"/>
                            </a:cxn>
                            <a:cxn ang="0">
                              <a:pos x="7061" y="279"/>
                            </a:cxn>
                            <a:cxn ang="0">
                              <a:pos x="4093" y="2325"/>
                            </a:cxn>
                            <a:cxn ang="0">
                              <a:pos x="3879" y="2432"/>
                            </a:cxn>
                            <a:cxn ang="0">
                              <a:pos x="3621" y="2465"/>
                            </a:cxn>
                            <a:cxn ang="0">
                              <a:pos x="3343" y="2443"/>
                            </a:cxn>
                            <a:cxn ang="0">
                              <a:pos x="3086" y="2293"/>
                            </a:cxn>
                            <a:cxn ang="0">
                              <a:pos x="118" y="311"/>
                            </a:cxn>
                            <a:cxn ang="0">
                              <a:pos x="0" y="193"/>
                            </a:cxn>
                            <a:cxn ang="0">
                              <a:pos x="11" y="32"/>
                            </a:cxn>
                            <a:cxn ang="0">
                              <a:pos x="129" y="0"/>
                            </a:cxn>
                          </a:cxnLst>
                          <a:pathLst>
                            <a:path w="4537710" h="1565275">
                              <a:moveTo>
                                <a:pt x="81915" y="0"/>
                              </a:moveTo>
                              <a:lnTo>
                                <a:pt x="4374515" y="0"/>
                              </a:lnTo>
                              <a:lnTo>
                                <a:pt x="4469765" y="13970"/>
                              </a:lnTo>
                              <a:lnTo>
                                <a:pt x="4537710" y="61595"/>
                              </a:lnTo>
                              <a:lnTo>
                                <a:pt x="4537710" y="129540"/>
                              </a:lnTo>
                              <a:lnTo>
                                <a:pt x="4483735" y="177165"/>
                              </a:lnTo>
                              <a:lnTo>
                                <a:pt x="2599055" y="1476375"/>
                              </a:lnTo>
                              <a:lnTo>
                                <a:pt x="2463165" y="1544320"/>
                              </a:lnTo>
                              <a:lnTo>
                                <a:pt x="2299335" y="1565275"/>
                              </a:lnTo>
                              <a:lnTo>
                                <a:pt x="2122805" y="1551305"/>
                              </a:lnTo>
                              <a:lnTo>
                                <a:pt x="1959610" y="1456055"/>
                              </a:lnTo>
                              <a:lnTo>
                                <a:pt x="74930" y="197485"/>
                              </a:lnTo>
                              <a:lnTo>
                                <a:pt x="0" y="122555"/>
                              </a:lnTo>
                              <a:lnTo>
                                <a:pt x="6985" y="20320"/>
                              </a:lnTo>
                              <a:lnTo>
                                <a:pt x="81915" y="0"/>
                              </a:lnTo>
                              <a:close/>
                            </a:path>
                          </a:pathLst>
                        </a:custGeom>
                        <a:solidFill>
                          <a:srgbClr val="808080"/>
                        </a:solidFill>
                        <a:ln w="25400">
                          <a:noFill/>
                        </a:ln>
                      </wps:spPr>
                      <wps:bodyPr vert="horz" wrap="square" anchor="t" upright="1"/>
                    </wps:wsp>
                  </wpg:wgp>
                </a:graphicData>
              </a:graphic>
            </wp:anchor>
          </w:drawing>
        </mc:Choice>
        <mc:Fallback>
          <w:pict>
            <v:group id="组合 32" o:spid="_x0000_s1026" o:spt="203" style="position:absolute;left:0pt;margin-left:96.85pt;margin-top:9.35pt;height:10.95pt;width:15.3pt;z-index:251677696;mso-width-relative:page;mso-height-relative:page;" coordorigin="4310,15755" coordsize="306,219" o:gfxdata="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">
              <o:lock v:ext="edit" aspectratio="f"/>
              <v:shape id="任意多边形 24" o:spid="_x0000_s1026" o:spt="100" style="position:absolute;left:4310;top:15772;height:202;width:306;" fillcolor="#808080" filled="t" stroked="f" coordsize="5232400,3449320" o:gfxdata="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8kAC74A&#10;AADbAAAADwAAAAAAAAABACAAAAAiAAAAZHJzL2Rvd25yZXYueG1sUEsBAhQAFAAAAAgAh07iQDMv&#10;BZ47AAAAOQAAABAAAAAAAAAAAQAgAAAADQEAAGRycy9zaGFwZXhtbC54bWxQSwUGAAAAAAYABgBb&#10;AQAAtwMAAAAA&#10;" path="m170180,0l2313305,1809750,2422525,1905000,2578735,1939290,2776220,1911985,2912110,1809750,4980305,61595,5082540,0,5211445,13970,5232400,95250,5218430,3190875,5184775,3313430,5089525,3401695,4966970,3449320,299720,3449320,190500,3422015,95250,3333750,34290,3211195,0,3075305,0,2919095,0,109220,27305,34290,109220,0,170180,0xe">
                <v:path o:connectlocs="268,0;3643,2850;3815,3000;4061,3054;4372,3011;4586,2850;7843,97;8004,0;8207,22;8240,150;8218,5025;8165,5218;8015,5357;7822,5432;472,5432;300,5389;150,5250;54,5057;0,4843;0,4597;0,172;43,54;172,0;268,0" o:connectangles="0,0,0,0,0,0,0,0,0,0,0,0,0,0,0,0,0,0,0,0,0,0,0,0"/>
                <v:fill on="t" focussize="0,0"/>
                <v:stroke on="f" weight="2pt"/>
                <v:imagedata o:title=""/>
                <o:lock v:ext="edit" aspectratio="f"/>
              </v:shape>
              <v:shape id="任意多边形 26" o:spid="_x0000_s1026" o:spt="100" style="position:absolute;left:4330;top:15755;height:92;width:265;" fillcolor="#808080" filled="t" stroked="f" coordsize="4537710,1565275" o:gfxdata="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fsOr4A&#10;AADbAAAADwAAAAAAAAABACAAAAAiAAAAZHJzL2Rvd25yZXYueG1sUEsBAhQAFAAAAAgAh07iQDMv&#10;BZ47AAAAOQAAABAAAAAAAAAAAQAgAAAADQEAAGRycy9zaGFwZXhtbC54bWxQSwUGAAAAAAYABgBb&#10;AQAAtwMAAAAA&#10;" path="m81915,0l4374515,0,4469765,13970,4537710,61595,4537710,129540,4483735,177165,2599055,1476375,2463165,1544320,2299335,1565275,2122805,1551305,1959610,1456055,74930,197485,0,122555,6985,20320,81915,0xe">
                <v:path o:connectlocs="129,0;6889,0;7039,22;7146,97;7146,204;7061,279;4093,2325;3879,2432;3621,2465;3343,2443;3086,2293;118,311;0,193;11,32;129,0" o:connectangles="0,0,0,0,0,0,0,0,0,0,0,0,0,0,0"/>
                <v:fill on="t" focussize="0,0"/>
                <v:stroke on="f" weight="2pt"/>
                <v:imagedata o:title=""/>
                <o:lock v:ext="edit" aspectratio="f"/>
              </v:shape>
            </v:group>
          </w:pict>
        </mc:Fallback>
      </mc:AlternateContent>
    </w:r>
    <w:r>
      <w:rPr>
        <w:sz w:val="18"/>
      </w:rPr>
      <mc:AlternateContent>
        <mc:Choice Requires="wps">
          <w:drawing>
            <wp:anchor distT="0" distB="0" distL="114300" distR="114300" simplePos="0" relativeHeight="251674624" behindDoc="0" locked="0" layoutInCell="1" allowOverlap="1">
              <wp:simplePos x="0" y="0"/>
              <wp:positionH relativeFrom="column">
                <wp:posOffset>88265</wp:posOffset>
              </wp:positionH>
              <wp:positionV relativeFrom="paragraph">
                <wp:posOffset>109220</wp:posOffset>
              </wp:positionV>
              <wp:extent cx="110490" cy="158115"/>
              <wp:effectExtent l="0" t="0" r="3810" b="13335"/>
              <wp:wrapNone/>
              <wp:docPr id="46" name="任意多边形 23"/>
              <wp:cNvGraphicFramePr/>
              <a:graphic xmlns:a="http://schemas.openxmlformats.org/drawingml/2006/main">
                <a:graphicData uri="http://schemas.microsoft.com/office/word/2010/wordprocessingShape">
                  <wps:wsp>
                    <wps:cNvSpPr/>
                    <wps:spPr>
                      <a:xfrm>
                        <a:off x="0" y="0"/>
                        <a:ext cx="110490" cy="158115"/>
                      </a:xfrm>
                      <a:custGeom>
                        <a:avLst/>
                        <a:gdLst/>
                        <a:ahLst/>
                        <a:cxnLst>
                          <a:cxn ang="0">
                            <a:pos x="132820" y="217034"/>
                          </a:cxn>
                          <a:cxn ang="0">
                            <a:pos x="142944" y="211036"/>
                          </a:cxn>
                          <a:cxn ang="0">
                            <a:pos x="156070" y="206518"/>
                          </a:cxn>
                          <a:cxn ang="0">
                            <a:pos x="169556" y="206518"/>
                          </a:cxn>
                          <a:cxn ang="0">
                            <a:pos x="180441" y="211036"/>
                          </a:cxn>
                          <a:cxn ang="0">
                            <a:pos x="212336" y="247022"/>
                          </a:cxn>
                          <a:cxn ang="0">
                            <a:pos x="219459" y="258617"/>
                          </a:cxn>
                          <a:cxn ang="0">
                            <a:pos x="220980" y="269893"/>
                          </a:cxn>
                          <a:cxn ang="0">
                            <a:pos x="220219" y="280009"/>
                          </a:cxn>
                          <a:cxn ang="0">
                            <a:pos x="214977" y="290484"/>
                          </a:cxn>
                          <a:cxn ang="0">
                            <a:pos x="208974" y="297602"/>
                          </a:cxn>
                          <a:cxn ang="0">
                            <a:pos x="179681" y="313755"/>
                          </a:cxn>
                          <a:cxn ang="0">
                            <a:pos x="171437" y="315595"/>
                          </a:cxn>
                          <a:cxn ang="0">
                            <a:pos x="160192" y="315595"/>
                          </a:cxn>
                          <a:cxn ang="0">
                            <a:pos x="147826" y="312236"/>
                          </a:cxn>
                          <a:cxn ang="0">
                            <a:pos x="132419" y="303999"/>
                          </a:cxn>
                          <a:cxn ang="0">
                            <a:pos x="118173" y="293883"/>
                          </a:cxn>
                          <a:cxn ang="0">
                            <a:pos x="100525" y="277769"/>
                          </a:cxn>
                          <a:cxn ang="0">
                            <a:pos x="84798" y="259777"/>
                          </a:cxn>
                          <a:cxn ang="0">
                            <a:pos x="63388" y="231628"/>
                          </a:cxn>
                          <a:cxn ang="0">
                            <a:pos x="42379" y="199401"/>
                          </a:cxn>
                          <a:cxn ang="0">
                            <a:pos x="32254" y="178809"/>
                          </a:cxn>
                          <a:cxn ang="0">
                            <a:pos x="21369" y="155538"/>
                          </a:cxn>
                          <a:cxn ang="0">
                            <a:pos x="10884" y="125550"/>
                          </a:cxn>
                          <a:cxn ang="0">
                            <a:pos x="4482" y="101199"/>
                          </a:cxn>
                          <a:cxn ang="0">
                            <a:pos x="360" y="74210"/>
                          </a:cxn>
                          <a:cxn ang="0">
                            <a:pos x="0" y="50579"/>
                          </a:cxn>
                          <a:cxn ang="0">
                            <a:pos x="3001" y="33706"/>
                          </a:cxn>
                          <a:cxn ang="0">
                            <a:pos x="9764" y="20231"/>
                          </a:cxn>
                          <a:cxn ang="0">
                            <a:pos x="18008" y="14234"/>
                          </a:cxn>
                          <a:cxn ang="0">
                            <a:pos x="42019" y="2239"/>
                          </a:cxn>
                          <a:cxn ang="0">
                            <a:pos x="55905" y="0"/>
                          </a:cxn>
                          <a:cxn ang="0">
                            <a:pos x="69791" y="2998"/>
                          </a:cxn>
                          <a:cxn ang="0">
                            <a:pos x="79155" y="8596"/>
                          </a:cxn>
                          <a:cxn ang="0">
                            <a:pos x="88920" y="18712"/>
                          </a:cxn>
                          <a:cxn ang="0">
                            <a:pos x="93402" y="28108"/>
                          </a:cxn>
                          <a:cxn ang="0">
                            <a:pos x="103927" y="54338"/>
                          </a:cxn>
                          <a:cxn ang="0">
                            <a:pos x="106528" y="68972"/>
                          </a:cxn>
                          <a:cxn ang="0">
                            <a:pos x="104647" y="79448"/>
                          </a:cxn>
                          <a:cxn ang="0">
                            <a:pos x="100165" y="89964"/>
                          </a:cxn>
                          <a:cxn ang="0">
                            <a:pos x="91521" y="99320"/>
                          </a:cxn>
                          <a:cxn ang="0">
                            <a:pos x="75794" y="108676"/>
                          </a:cxn>
                          <a:cxn ang="0">
                            <a:pos x="72032" y="110556"/>
                          </a:cxn>
                          <a:cxn ang="0">
                            <a:pos x="78035" y="126669"/>
                          </a:cxn>
                          <a:cxn ang="0">
                            <a:pos x="85918" y="146182"/>
                          </a:cxn>
                          <a:cxn ang="0">
                            <a:pos x="95283" y="164934"/>
                          </a:cxn>
                          <a:cxn ang="0">
                            <a:pos x="108409" y="186646"/>
                          </a:cxn>
                          <a:cxn ang="0">
                            <a:pos x="117813" y="200520"/>
                          </a:cxn>
                          <a:cxn ang="0">
                            <a:pos x="129058" y="214395"/>
                          </a:cxn>
                          <a:cxn ang="0">
                            <a:pos x="132820" y="217034"/>
                          </a:cxn>
                        </a:cxnLst>
                        <a:pathLst>
                          <a:path w="3506470" h="5012055">
                            <a:moveTo>
                              <a:pt x="2107565" y="3446780"/>
                            </a:moveTo>
                            <a:lnTo>
                              <a:pt x="2268220" y="3351530"/>
                            </a:lnTo>
                            <a:lnTo>
                              <a:pt x="2476500" y="3279775"/>
                            </a:lnTo>
                            <a:lnTo>
                              <a:pt x="2690495" y="3279775"/>
                            </a:lnTo>
                            <a:lnTo>
                              <a:pt x="2863215" y="3351530"/>
                            </a:lnTo>
                            <a:lnTo>
                              <a:pt x="3369310" y="3923030"/>
                            </a:lnTo>
                            <a:lnTo>
                              <a:pt x="3482340" y="4107180"/>
                            </a:lnTo>
                            <a:lnTo>
                              <a:pt x="3506470" y="4286250"/>
                            </a:lnTo>
                            <a:lnTo>
                              <a:pt x="3494405" y="4446905"/>
                            </a:lnTo>
                            <a:lnTo>
                              <a:pt x="3411220" y="4613275"/>
                            </a:lnTo>
                            <a:lnTo>
                              <a:pt x="3315970" y="4726305"/>
                            </a:lnTo>
                            <a:lnTo>
                              <a:pt x="2851150" y="4982845"/>
                            </a:lnTo>
                            <a:lnTo>
                              <a:pt x="2720340" y="5012055"/>
                            </a:lnTo>
                            <a:lnTo>
                              <a:pt x="2541905" y="5012055"/>
                            </a:lnTo>
                            <a:lnTo>
                              <a:pt x="2345690" y="4958715"/>
                            </a:lnTo>
                            <a:lnTo>
                              <a:pt x="2101215" y="4827905"/>
                            </a:lnTo>
                            <a:lnTo>
                              <a:pt x="1875155" y="4667250"/>
                            </a:lnTo>
                            <a:lnTo>
                              <a:pt x="1595120" y="4411345"/>
                            </a:lnTo>
                            <a:lnTo>
                              <a:pt x="1345565" y="4125595"/>
                            </a:lnTo>
                            <a:lnTo>
                              <a:pt x="1005840" y="3678555"/>
                            </a:lnTo>
                            <a:lnTo>
                              <a:pt x="672465" y="3166745"/>
                            </a:lnTo>
                            <a:lnTo>
                              <a:pt x="511810" y="2839720"/>
                            </a:lnTo>
                            <a:lnTo>
                              <a:pt x="339090" y="2470150"/>
                            </a:lnTo>
                            <a:lnTo>
                              <a:pt x="172720" y="1993900"/>
                            </a:lnTo>
                            <a:lnTo>
                              <a:pt x="71120" y="1607185"/>
                            </a:lnTo>
                            <a:lnTo>
                              <a:pt x="5715" y="1178560"/>
                            </a:lnTo>
                            <a:lnTo>
                              <a:pt x="0" y="803275"/>
                            </a:lnTo>
                            <a:lnTo>
                              <a:pt x="47625" y="535305"/>
                            </a:lnTo>
                            <a:lnTo>
                              <a:pt x="154940" y="321310"/>
                            </a:lnTo>
                            <a:lnTo>
                              <a:pt x="285750" y="226060"/>
                            </a:lnTo>
                            <a:lnTo>
                              <a:pt x="666750" y="35560"/>
                            </a:lnTo>
                            <a:lnTo>
                              <a:pt x="887095" y="0"/>
                            </a:lnTo>
                            <a:lnTo>
                              <a:pt x="1107440" y="47625"/>
                            </a:lnTo>
                            <a:lnTo>
                              <a:pt x="1256030" y="136525"/>
                            </a:lnTo>
                            <a:lnTo>
                              <a:pt x="1410970" y="297180"/>
                            </a:lnTo>
                            <a:lnTo>
                              <a:pt x="1482090" y="446405"/>
                            </a:lnTo>
                            <a:lnTo>
                              <a:pt x="1649095" y="862965"/>
                            </a:lnTo>
                            <a:lnTo>
                              <a:pt x="1690370" y="1095375"/>
                            </a:lnTo>
                            <a:lnTo>
                              <a:pt x="1660525" y="1261745"/>
                            </a:lnTo>
                            <a:lnTo>
                              <a:pt x="1589405" y="1428750"/>
                            </a:lnTo>
                            <a:lnTo>
                              <a:pt x="1452245" y="1577340"/>
                            </a:lnTo>
                            <a:lnTo>
                              <a:pt x="1202690" y="1725930"/>
                            </a:lnTo>
                            <a:lnTo>
                              <a:pt x="1143000" y="1755775"/>
                            </a:lnTo>
                            <a:lnTo>
                              <a:pt x="1238250" y="2011680"/>
                            </a:lnTo>
                            <a:lnTo>
                              <a:pt x="1363345" y="2321560"/>
                            </a:lnTo>
                            <a:lnTo>
                              <a:pt x="1511935" y="2619375"/>
                            </a:lnTo>
                            <a:lnTo>
                              <a:pt x="1720215" y="2964180"/>
                            </a:lnTo>
                            <a:lnTo>
                              <a:pt x="1869440" y="3184525"/>
                            </a:lnTo>
                            <a:lnTo>
                              <a:pt x="2047875" y="3404870"/>
                            </a:lnTo>
                            <a:lnTo>
                              <a:pt x="2107565" y="3446780"/>
                            </a:lnTo>
                            <a:close/>
                          </a:path>
                        </a:pathLst>
                      </a:custGeom>
                      <a:solidFill>
                        <a:srgbClr val="808080"/>
                      </a:solidFill>
                      <a:ln w="25400">
                        <a:noFill/>
                      </a:ln>
                    </wps:spPr>
                    <wps:bodyPr vert="horz" wrap="square" anchor="t" upright="1"/>
                  </wps:wsp>
                </a:graphicData>
              </a:graphic>
            </wp:anchor>
          </w:drawing>
        </mc:Choice>
        <mc:Fallback>
          <w:pict>
            <v:shape id="任意多边形 23" o:spid="_x0000_s1026" o:spt="100" style="position:absolute;left:0pt;margin-left:6.95pt;margin-top:8.6pt;height:12.45pt;width:8.7pt;z-index:251674624;mso-width-relative:page;mso-height-relative:page;" fillcolor="#808080" filled="t" stroked="f" coordsize="3506470,5012055" o:gfxdata="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" path="m2107565,3446780l2268220,3351530,2476500,3279775,2690495,3279775,2863215,3351530,3369310,3923030,3482340,4107180,3506470,4286250,3494405,4446905,3411220,4613275,3315970,4726305,2851150,4982845,2720340,5012055,2541905,5012055,2345690,4958715,2101215,4827905,1875155,4667250,1595120,4411345,1345565,4125595,1005840,3678555,672465,3166745,511810,2839720,339090,2470150,172720,1993900,71120,1607185,5715,1178560,0,803275,47625,535305,154940,321310,285750,226060,666750,35560,887095,0,1107440,47625,1256030,136525,1410970,297180,1482090,446405,1649095,862965,1690370,1095375,1660525,1261745,1589405,1428750,1452245,1577340,1202690,1725930,1143000,1755775,1238250,2011680,1363345,2321560,1511935,2619375,1720215,2964180,1869440,3184525,2047875,3404870,2107565,3446780xe">
              <v:path o:connectlocs="132820,217034;142944,211036;156070,206518;169556,206518;180441,211036;212336,247022;219459,258617;220980,269893;220219,280009;214977,290484;208974,297602;179681,313755;171437,315595;160192,315595;147826,312236;132419,303999;118173,293883;100525,277769;84798,259777;63388,231628;42379,199401;32254,178809;21369,155538;10884,125550;4482,101199;360,74210;0,50579;3001,33706;9764,20231;18008,14234;42019,2239;55905,0;69791,2998;79155,8596;88920,18712;93402,28108;103927,54338;106528,68972;104647,79448;100165,89964;91521,99320;75794,108676;72032,110556;78035,126669;85918,146182;95283,164934;108409,186646;117813,200520;129058,214395;132820,217034" o:connectangles="0,0,0,0,0,0,0,0,0,0,0,0,0,0,0,0,0,0,0,0,0,0,0,0,0,0,0,0,0,0,0,0,0,0,0,0,0,0,0,0,0,0,0,0,0,0,0,0,0,0"/>
              <v:fill on="t" focussize="0,0"/>
              <v:stroke on="f" weight="2pt"/>
              <v:imagedata o:title=""/>
              <o:lock v:ext="edit" aspectratio="f"/>
            </v:shape>
          </w:pict>
        </mc:Fallback>
      </mc:AlternateContent>
    </w:r>
  </w:p>
  <w:p w14:paraId="3D445D7B">
    <w:pPr>
      <w:pStyle w:val="21"/>
      <w:rPr>
        <w:rFonts w:hint="eastAsia" w:eastAsia="宋体"/>
        <w:lang w:eastAsia="zh-CN"/>
      </w:rPr>
    </w:pPr>
  </w:p>
  <w:p w14:paraId="0395520A">
    <w:pPr>
      <w:pStyle w:val="21"/>
    </w:pPr>
    <w:r>
      <w:rPr>
        <w:sz w:val="18"/>
      </w:rPr>
      <mc:AlternateContent>
        <mc:Choice Requires="wpg">
          <w:drawing>
            <wp:anchor distT="0" distB="0" distL="114300" distR="114300" simplePos="0" relativeHeight="251676672" behindDoc="0" locked="0" layoutInCell="1" allowOverlap="1">
              <wp:simplePos x="0" y="0"/>
              <wp:positionH relativeFrom="column">
                <wp:posOffset>77470</wp:posOffset>
              </wp:positionH>
              <wp:positionV relativeFrom="paragraph">
                <wp:posOffset>78105</wp:posOffset>
              </wp:positionV>
              <wp:extent cx="145415" cy="146685"/>
              <wp:effectExtent l="0" t="0" r="6985" b="44450"/>
              <wp:wrapNone/>
              <wp:docPr id="47" name="组合 33"/>
              <wp:cNvGraphicFramePr/>
              <a:graphic xmlns:a="http://schemas.openxmlformats.org/drawingml/2006/main">
                <a:graphicData uri="http://schemas.microsoft.com/office/word/2010/wordprocessingGroup">
                  <wpg:wgp>
                    <wpg:cNvGrpSpPr/>
                    <wpg:grpSpPr>
                      <a:xfrm>
                        <a:off x="0" y="0"/>
                        <a:ext cx="145415" cy="146685"/>
                        <a:chOff x="2495" y="16108"/>
                        <a:chExt cx="252" cy="254"/>
                      </a:xfrm>
                    </wpg:grpSpPr>
                    <wps:wsp>
                      <wps:cNvPr id="48" name="泪滴形 114"/>
                      <wps:cNvSpPr/>
                      <wps:spPr>
                        <a:xfrm rot="8160000">
                          <a:off x="2495" y="16108"/>
                          <a:ext cx="253" cy="255"/>
                        </a:xfrm>
                        <a:custGeom>
                          <a:avLst/>
                          <a:gdLst/>
                          <a:ahLst/>
                          <a:cxnLst>
                            <a:cxn ang="0">
                              <a:pos x="505" y="254"/>
                            </a:cxn>
                            <a:cxn ang="5400000">
                              <a:pos x="431" y="433"/>
                            </a:cxn>
                            <a:cxn ang="5400000">
                              <a:pos x="252" y="508"/>
                            </a:cxn>
                            <a:cxn ang="5400000">
                              <a:pos x="73" y="433"/>
                            </a:cxn>
                            <a:cxn ang="10800000">
                              <a:pos x="0" y="254"/>
                            </a:cxn>
                            <a:cxn ang="16200000">
                              <a:pos x="73" y="74"/>
                            </a:cxn>
                            <a:cxn ang="16200000">
                              <a:pos x="252" y="0"/>
                            </a:cxn>
                            <a:cxn ang="16200000">
                              <a:pos x="505" y="0"/>
                            </a:cxn>
                          </a:cxnLst>
                          <a:pathLst>
                            <a:path w="505" h="508">
                              <a:moveTo>
                                <a:pt x="0" y="254"/>
                              </a:moveTo>
                              <a:cubicBezTo>
                                <a:pt x="0" y="114"/>
                                <a:pt x="113" y="0"/>
                                <a:pt x="252" y="0"/>
                              </a:cubicBezTo>
                              <a:cubicBezTo>
                                <a:pt x="336" y="0"/>
                                <a:pt x="420" y="0"/>
                                <a:pt x="505" y="0"/>
                              </a:cubicBezTo>
                              <a:cubicBezTo>
                                <a:pt x="505" y="84"/>
                                <a:pt x="505" y="169"/>
                                <a:pt x="505" y="254"/>
                              </a:cubicBezTo>
                              <a:cubicBezTo>
                                <a:pt x="505" y="394"/>
                                <a:pt x="392" y="508"/>
                                <a:pt x="253" y="508"/>
                              </a:cubicBezTo>
                              <a:cubicBezTo>
                                <a:pt x="114" y="508"/>
                                <a:pt x="1" y="394"/>
                                <a:pt x="1" y="254"/>
                              </a:cubicBezTo>
                              <a:close/>
                            </a:path>
                          </a:pathLst>
                        </a:custGeom>
                        <a:solidFill>
                          <a:srgbClr val="808080"/>
                        </a:solidFill>
                        <a:ln w="25400">
                          <a:noFill/>
                        </a:ln>
                      </wps:spPr>
                      <wps:bodyPr vert="horz" wrap="square" anchor="ctr" upright="1"/>
                    </wps:wsp>
                    <wps:wsp>
                      <wps:cNvPr id="49" name="椭圆 115"/>
                      <wps:cNvSpPr/>
                      <wps:spPr>
                        <a:xfrm>
                          <a:off x="2560" y="16171"/>
                          <a:ext cx="124" cy="124"/>
                        </a:xfrm>
                        <a:prstGeom prst="ellipse">
                          <a:avLst/>
                        </a:prstGeom>
                        <a:solidFill>
                          <a:srgbClr val="FFFFFF"/>
                        </a:solidFill>
                        <a:ln w="25400">
                          <a:noFill/>
                        </a:ln>
                      </wps:spPr>
                      <wps:bodyPr vert="horz" wrap="square" anchor="ctr" upright="1"/>
                    </wps:wsp>
                  </wpg:wgp>
                </a:graphicData>
              </a:graphic>
            </wp:anchor>
          </w:drawing>
        </mc:Choice>
        <mc:Fallback>
          <w:pict>
            <v:group id="组合 33" o:spid="_x0000_s1026" o:spt="203" style="position:absolute;left:0pt;margin-left:6.1pt;margin-top:6.15pt;height:11.55pt;width:11.45pt;z-index:251676672;mso-width-relative:page;mso-height-relative:page;" coordorigin="2495,16108" coordsize="252,254" o:gfxdata="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">
              <o:lock v:ext="edit" aspectratio="f"/>
              <v:shape id="泪滴形 114" o:spid="_x0000_s1026" o:spt="100" style="position:absolute;left:2495;top:16108;height:255;width:253;rotation:8912896f;v-text-anchor:middle;" fillcolor="#808080" filled="t" stroked="f" coordsize="505,508" o:gfxdata="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ljuDLsAAADb&#10;AAAADwAAAAAAAAABACAAAAAiAAAAZHJzL2Rvd25yZXYueG1sUEsBAhQAFAAAAAgAh07iQDMvBZ47&#10;AAAAOQAAABAAAAAAAAAAAQAgAAAACgEAAGRycy9zaGFwZXhtbC54bWxQSwUGAAAAAAYABgBbAQAA&#10;tAMAAAAA&#10;" path="m0,254c0,114,113,0,252,0c336,0,420,0,505,0c505,84,505,169,505,254c505,394,392,508,253,508c114,508,1,394,1,254xe">
                <v:path o:connectlocs="505,254;431,433;252,508;73,433;0,254;73,74;252,0;505,0" o:connectangles="0,82,82,82,164,247,247,247"/>
                <v:fill on="t" focussize="0,0"/>
                <v:stroke on="f" weight="2pt"/>
                <v:imagedata o:title=""/>
                <o:lock v:ext="edit" aspectratio="f"/>
              </v:shape>
              <v:shape id="椭圆 115" o:spid="_x0000_s1026" o:spt="3" type="#_x0000_t3" style="position:absolute;left:2560;top:16171;height:124;width:124;v-text-anchor:middle;" fillcolor="#FFFFFF" filled="t" stroked="f" coordsize="21600,21600" o:gfxdata="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3K+K/&#10;AAAA2wAAAA8AAAAAAAAAAQAgAAAAIgAAAGRycy9kb3ducmV2LnhtbFBLAQIUABQAAAAIAIdO4kAz&#10;LwWeOwAAADkAAAAQAAAAAAAAAAEAIAAAAA4BAABkcnMvc2hhcGV4bWwueG1sUEsFBgAAAAAGAAYA&#10;WwEAALgDAAAAAA==&#10;">
                <v:fill on="t" focussize="0,0"/>
                <v:stroke on="f" weight="2pt"/>
                <v:imagedata o:title=""/>
                <o:lock v:ext="edit" aspectratio="f"/>
              </v:shape>
            </v:group>
          </w:pict>
        </mc:Fallback>
      </mc:AlternateContent>
    </w:r>
  </w:p>
  <w:p w14:paraId="4A83B8F0">
    <w:pPr>
      <w:pStyle w:val="21"/>
      <w:jc w:val="both"/>
      <w:rPr>
        <w:rFonts w:ascii="宋体" w:hAnsi="宋体"/>
      </w:rPr>
    </w:pPr>
    <w:r>
      <w:rPr>
        <w:sz w:val="18"/>
      </w:rPr>
      <mc:AlternateContent>
        <mc:Choice Requires="wps">
          <w:drawing>
            <wp:anchor distT="0" distB="0" distL="114300" distR="114300" simplePos="0" relativeHeight="251677696" behindDoc="0" locked="0" layoutInCell="1" allowOverlap="1">
              <wp:simplePos x="0" y="0"/>
              <wp:positionH relativeFrom="margin">
                <wp:posOffset>2673985</wp:posOffset>
              </wp:positionH>
              <wp:positionV relativeFrom="paragraph">
                <wp:posOffset>147320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E0CE79">
                          <w:pPr>
                            <w:pStyle w:val="2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0.55pt;margin-top:11.6pt;height:144pt;width:144pt;mso-position-horizontal-relative:margin;mso-wrap-style:none;z-index:251677696;mso-width-relative:page;mso-height-relative:page;" filled="f" stroked="f" coordsize="21600,21600" o:gfxdata="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tlYtHXAAAACgEAAA8AAAAAAAAAAQAgAAAAIgAAAGRycy9kb3ducmV2LnhtbFBL&#10;AQIUABQAAAAIAIdO4kA6fsqYMAIAAGMEAAAOAAAAAAAAAAEAIAAAACYBAABkcnMvZTJvRG9jLnht&#10;bFBLBQYAAAAABgAGAFkBAADIBQAAAAA=&#10;">
              <v:fill on="f" focussize="0,0"/>
              <v:stroke on="f" weight="0.5pt"/>
              <v:imagedata o:title=""/>
              <o:lock v:ext="edit" aspectratio="f"/>
              <v:textbox inset="0mm,0mm,0mm,0mm" style="mso-fit-shape-to-text:t;">
                <w:txbxContent>
                  <w:p w14:paraId="46E0CE79">
                    <w:pPr>
                      <w:pStyle w:val="2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69</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2A3C3">
    <w:pPr>
      <w:pStyle w:val="21"/>
      <w:rPr>
        <w:rFonts w:hint="default"/>
        <w:lang w:val="en-US"/>
      </w:rPr>
    </w:pPr>
    <w:r>
      <w:rPr>
        <w:sz w:val="18"/>
      </w:rPr>
      <mc:AlternateContent>
        <mc:Choice Requires="wps">
          <w:drawing>
            <wp:anchor distT="0" distB="0" distL="114300" distR="114300" simplePos="0" relativeHeight="251667456" behindDoc="0" locked="0" layoutInCell="1" allowOverlap="1">
              <wp:simplePos x="0" y="0"/>
              <wp:positionH relativeFrom="column">
                <wp:posOffset>189230</wp:posOffset>
              </wp:positionH>
              <wp:positionV relativeFrom="paragraph">
                <wp:posOffset>113665</wp:posOffset>
              </wp:positionV>
              <wp:extent cx="5582920" cy="572135"/>
              <wp:effectExtent l="0" t="0" r="0" b="0"/>
              <wp:wrapNone/>
              <wp:docPr id="27" name="文本框 14"/>
              <wp:cNvGraphicFramePr/>
              <a:graphic xmlns:a="http://schemas.openxmlformats.org/drawingml/2006/main">
                <a:graphicData uri="http://schemas.microsoft.com/office/word/2010/wordprocessingShape">
                  <wps:wsp>
                    <wps:cNvSpPr txBox="1"/>
                    <wps:spPr>
                      <a:xfrm>
                        <a:off x="0" y="0"/>
                        <a:ext cx="5582920" cy="572135"/>
                      </a:xfrm>
                      <a:prstGeom prst="rect">
                        <a:avLst/>
                      </a:prstGeom>
                      <a:noFill/>
                      <a:ln w="15875">
                        <a:noFill/>
                      </a:ln>
                    </wps:spPr>
                    <wps:txbx>
                      <w:txbxContent>
                        <w:p w14:paraId="633A635C">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outlineLvl w:val="9"/>
                            <w:rPr>
                              <w:rFonts w:hint="eastAsia" w:ascii="微软雅黑" w:hAnsi="微软雅黑" w:eastAsia="微软雅黑" w:cs="微软雅黑"/>
                              <w:b w:val="0"/>
                              <w:i w:val="0"/>
                              <w:caps w:val="0"/>
                              <w:color w:val="000000"/>
                              <w:spacing w:val="0"/>
                              <w:sz w:val="18"/>
                              <w:szCs w:val="18"/>
                              <w:u w:val="none"/>
                              <w:shd w:val="clear" w:color="auto" w:fill="FFFFFF"/>
                              <w:lang w:val="en-US" w:eastAsia="zh-CN"/>
                            </w:rPr>
                          </w:pP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0971</w:t>
                          </w:r>
                          <w:r>
                            <w:rPr>
                              <w:rFonts w:hint="eastAsia" w:ascii="微软雅黑" w:hAnsi="微软雅黑" w:eastAsia="微软雅黑" w:cs="微软雅黑"/>
                              <w:b w:val="0"/>
                              <w:i w:val="0"/>
                              <w:caps w:val="0"/>
                              <w:color w:val="000000"/>
                              <w:spacing w:val="0"/>
                              <w:sz w:val="18"/>
                              <w:szCs w:val="18"/>
                              <w:u w:val="none"/>
                              <w:shd w:val="clear" w:color="auto" w:fill="FFFFFF"/>
                            </w:rPr>
                            <w:t>-</w:t>
                          </w: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 xml:space="preserve">8278117       guode@guodezhaobiao.com      www.guodezhaobiao.com   </w:t>
                          </w:r>
                        </w:p>
                        <w:p w14:paraId="4FFBCE44">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r>
                            <w:rPr>
                              <w:rFonts w:hint="eastAsia" w:ascii="微软雅黑" w:hAnsi="微软雅黑" w:eastAsia="微软雅黑" w:cs="微软雅黑"/>
                              <w:b w:val="0"/>
                              <w:i w:val="0"/>
                              <w:caps w:val="0"/>
                              <w:color w:val="000000"/>
                              <w:spacing w:val="0"/>
                              <w:sz w:val="18"/>
                              <w:szCs w:val="18"/>
                              <w:shd w:val="clear" w:color="auto" w:fill="FFFFFF"/>
                              <w:lang w:val="en-US" w:eastAsia="zh-CN"/>
                            </w:rPr>
                            <w:t xml:space="preserve">青海省西宁市城东区建国大街57号新千国际广场东区2号写字楼13楼  </w:t>
                          </w:r>
                        </w:p>
                        <w:p w14:paraId="5135CDE3">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p>
                      </w:txbxContent>
                    </wps:txbx>
                    <wps:bodyPr vert="horz" wrap="square" anchor="t" upright="1"/>
                  </wps:wsp>
                </a:graphicData>
              </a:graphic>
            </wp:anchor>
          </w:drawing>
        </mc:Choice>
        <mc:Fallback>
          <w:pict>
            <v:shape id="文本框 14" o:spid="_x0000_s1026" o:spt="202" type="#_x0000_t202" style="position:absolute;left:0pt;margin-left:14.9pt;margin-top:8.95pt;height:45.05pt;width:439.6pt;z-index:251667456;mso-width-relative:page;mso-height-relative:page;" filled="f" stroked="f" coordsize="21600,21600" o:gfxdata="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7a13XaAAAACQEAAA8AAAAAAAAAAQAgAAAA&#10;IgAAAGRycy9kb3ducmV2LnhtbFBLAQIUABQAAAAIAIdO4kCaL58a0AEAAH8DAAAOAAAAAAAAAAEA&#10;IAAAACkBAABkcnMvZTJvRG9jLnhtbFBLBQYAAAAABgAGAFkBAABrBQAAAAA=&#10;">
              <v:fill on="f" focussize="0,0"/>
              <v:stroke on="f" weight="1.25pt"/>
              <v:imagedata o:title=""/>
              <o:lock v:ext="edit" aspectratio="f"/>
              <v:textbox>
                <w:txbxContent>
                  <w:p w14:paraId="633A635C">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outlineLvl w:val="9"/>
                      <w:rPr>
                        <w:rFonts w:hint="eastAsia" w:ascii="微软雅黑" w:hAnsi="微软雅黑" w:eastAsia="微软雅黑" w:cs="微软雅黑"/>
                        <w:b w:val="0"/>
                        <w:i w:val="0"/>
                        <w:caps w:val="0"/>
                        <w:color w:val="000000"/>
                        <w:spacing w:val="0"/>
                        <w:sz w:val="18"/>
                        <w:szCs w:val="18"/>
                        <w:u w:val="none"/>
                        <w:shd w:val="clear" w:color="auto" w:fill="FFFFFF"/>
                        <w:lang w:val="en-US" w:eastAsia="zh-CN"/>
                      </w:rPr>
                    </w:pP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0971</w:t>
                    </w:r>
                    <w:r>
                      <w:rPr>
                        <w:rFonts w:hint="eastAsia" w:ascii="微软雅黑" w:hAnsi="微软雅黑" w:eastAsia="微软雅黑" w:cs="微软雅黑"/>
                        <w:b w:val="0"/>
                        <w:i w:val="0"/>
                        <w:caps w:val="0"/>
                        <w:color w:val="000000"/>
                        <w:spacing w:val="0"/>
                        <w:sz w:val="18"/>
                        <w:szCs w:val="18"/>
                        <w:u w:val="none"/>
                        <w:shd w:val="clear" w:color="auto" w:fill="FFFFFF"/>
                      </w:rPr>
                      <w:t>-</w:t>
                    </w:r>
                    <w:r>
                      <w:rPr>
                        <w:rFonts w:hint="eastAsia" w:ascii="微软雅黑" w:hAnsi="微软雅黑" w:eastAsia="微软雅黑" w:cs="微软雅黑"/>
                        <w:b w:val="0"/>
                        <w:i w:val="0"/>
                        <w:caps w:val="0"/>
                        <w:color w:val="000000"/>
                        <w:spacing w:val="0"/>
                        <w:sz w:val="18"/>
                        <w:szCs w:val="18"/>
                        <w:u w:val="none"/>
                        <w:shd w:val="clear" w:color="auto" w:fill="FFFFFF"/>
                        <w:lang w:val="en-US" w:eastAsia="zh-CN"/>
                      </w:rPr>
                      <w:t xml:space="preserve">8278117       guode@guodezhaobiao.com      www.guodezhaobiao.com   </w:t>
                    </w:r>
                  </w:p>
                  <w:p w14:paraId="4FFBCE44">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r>
                      <w:rPr>
                        <w:rFonts w:hint="eastAsia" w:ascii="微软雅黑" w:hAnsi="微软雅黑" w:eastAsia="微软雅黑" w:cs="微软雅黑"/>
                        <w:b w:val="0"/>
                        <w:i w:val="0"/>
                        <w:caps w:val="0"/>
                        <w:color w:val="000000"/>
                        <w:spacing w:val="0"/>
                        <w:sz w:val="18"/>
                        <w:szCs w:val="18"/>
                        <w:shd w:val="clear" w:color="auto" w:fill="FFFFFF"/>
                        <w:lang w:val="en-US" w:eastAsia="zh-CN"/>
                      </w:rPr>
                      <w:t xml:space="preserve">青海省西宁市城东区建国大街57号新千国际广场东区2号写字楼13楼  </w:t>
                    </w:r>
                  </w:p>
                  <w:p w14:paraId="5135CDE3">
                    <w:pPr>
                      <w:pStyle w:val="21"/>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outlineLvl w:val="9"/>
                      <w:rPr>
                        <w:rFonts w:hint="eastAsia" w:ascii="微软雅黑" w:hAnsi="微软雅黑" w:eastAsia="微软雅黑" w:cs="微软雅黑"/>
                        <w:b w:val="0"/>
                        <w:i w:val="0"/>
                        <w:caps w:val="0"/>
                        <w:color w:val="000000"/>
                        <w:spacing w:val="0"/>
                        <w:sz w:val="18"/>
                        <w:szCs w:val="18"/>
                        <w:shd w:val="clear" w:color="auto" w:fill="FFFFFF"/>
                        <w:lang w:val="en-US" w:eastAsia="zh-CN"/>
                      </w:rPr>
                    </w:pPr>
                  </w:p>
                </w:txbxContent>
              </v:textbox>
            </v:shape>
          </w:pict>
        </mc:Fallback>
      </mc:AlternateContent>
    </w:r>
    <w:r>
      <w:rPr>
        <w:rFonts w:hint="eastAsia"/>
        <w:u w:val="single"/>
        <w:lang w:val="en-US" w:eastAsia="zh-CN"/>
      </w:rPr>
      <w:t xml:space="preserve">                                                                                                          </w:t>
    </w:r>
  </w:p>
  <w:p w14:paraId="53D42E99">
    <w:pPr>
      <w:pStyle w:val="21"/>
    </w:pPr>
    <w:r>
      <w:rPr>
        <w:sz w:val="18"/>
      </w:rPr>
      <w:drawing>
        <wp:anchor distT="0" distB="0" distL="114300" distR="114300" simplePos="0" relativeHeight="251672576" behindDoc="0" locked="0" layoutInCell="1" allowOverlap="1">
          <wp:simplePos x="0" y="0"/>
          <wp:positionH relativeFrom="column">
            <wp:posOffset>5031105</wp:posOffset>
          </wp:positionH>
          <wp:positionV relativeFrom="paragraph">
            <wp:posOffset>35560</wp:posOffset>
          </wp:positionV>
          <wp:extent cx="724535" cy="733425"/>
          <wp:effectExtent l="0" t="0" r="18415" b="9525"/>
          <wp:wrapNone/>
          <wp:docPr id="22" name="图片 22" descr="W:/桌面/qrcode_for_gh_2cf3c6beb10b_258.jpgqrcode_for_gh_2cf3c6beb10b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W:/桌面/qrcode_for_gh_2cf3c6beb10b_258.jpgqrcode_for_gh_2cf3c6beb10b_258"/>
                  <pic:cNvPicPr>
                    <a:picLocks noChangeAspect="1"/>
                  </pic:cNvPicPr>
                </pic:nvPicPr>
                <pic:blipFill>
                  <a:blip r:embed="rId1"/>
                  <a:srcRect l="606" r="606"/>
                  <a:stretch>
                    <a:fillRect/>
                  </a:stretch>
                </pic:blipFill>
                <pic:spPr>
                  <a:xfrm>
                    <a:off x="0" y="0"/>
                    <a:ext cx="724535" cy="733425"/>
                  </a:xfrm>
                  <a:prstGeom prst="rect">
                    <a:avLst/>
                  </a:prstGeom>
                </pic:spPr>
              </pic:pic>
            </a:graphicData>
          </a:graphic>
        </wp:anchor>
      </w:drawing>
    </w:r>
    <w:r>
      <w:rPr>
        <w:sz w:val="18"/>
      </w:rPr>
      <mc:AlternateContent>
        <mc:Choice Requires="wpg">
          <w:drawing>
            <wp:anchor distT="0" distB="0" distL="114300" distR="114300" simplePos="0" relativeHeight="251669504" behindDoc="0" locked="0" layoutInCell="1" allowOverlap="1">
              <wp:simplePos x="0" y="0"/>
              <wp:positionH relativeFrom="column">
                <wp:posOffset>3168015</wp:posOffset>
              </wp:positionH>
              <wp:positionV relativeFrom="paragraph">
                <wp:posOffset>108585</wp:posOffset>
              </wp:positionV>
              <wp:extent cx="179070" cy="160020"/>
              <wp:effectExtent l="0" t="0" r="11430" b="11430"/>
              <wp:wrapNone/>
              <wp:docPr id="28" name="组合 28"/>
              <wp:cNvGraphicFramePr/>
              <a:graphic xmlns:a="http://schemas.openxmlformats.org/drawingml/2006/main">
                <a:graphicData uri="http://schemas.microsoft.com/office/word/2010/wordprocessingGroup">
                  <wpg:wgp>
                    <wpg:cNvGrpSpPr/>
                    <wpg:grpSpPr>
                      <a:xfrm>
                        <a:off x="0" y="0"/>
                        <a:ext cx="179070" cy="160020"/>
                        <a:chOff x="2998" y="15759"/>
                        <a:chExt cx="282" cy="252"/>
                      </a:xfrm>
                    </wpg:grpSpPr>
                    <wpg:grpSp>
                      <wpg:cNvPr id="29" name="组合 8"/>
                      <wpg:cNvGrpSpPr/>
                      <wpg:grpSpPr>
                        <a:xfrm>
                          <a:off x="2998" y="15759"/>
                          <a:ext cx="283" cy="253"/>
                          <a:chOff x="4174" y="6177"/>
                          <a:chExt cx="1074" cy="960"/>
                        </a:xfrm>
                      </wpg:grpSpPr>
                      <wps:wsp>
                        <wps:cNvPr id="30" name="圆角矩形 1"/>
                        <wps:cNvSpPr/>
                        <wps:spPr>
                          <a:xfrm>
                            <a:off x="4174" y="6177"/>
                            <a:ext cx="1074" cy="798"/>
                          </a:xfrm>
                          <a:prstGeom prst="roundRect">
                            <a:avLst>
                              <a:gd name="adj" fmla="val 9301"/>
                            </a:avLst>
                          </a:prstGeom>
                          <a:solidFill>
                            <a:srgbClr val="808080"/>
                          </a:solidFill>
                          <a:ln w="25400">
                            <a:noFill/>
                          </a:ln>
                        </wps:spPr>
                        <wps:bodyPr vert="horz" wrap="square" anchor="ctr" upright="1"/>
                      </wps:wsp>
                      <wps:wsp>
                        <wps:cNvPr id="31" name="矩形 3"/>
                        <wps:cNvSpPr/>
                        <wps:spPr>
                          <a:xfrm>
                            <a:off x="4564" y="6953"/>
                            <a:ext cx="313" cy="119"/>
                          </a:xfrm>
                          <a:prstGeom prst="rect">
                            <a:avLst/>
                          </a:prstGeom>
                          <a:solidFill>
                            <a:srgbClr val="808080"/>
                          </a:solidFill>
                          <a:ln w="25400">
                            <a:noFill/>
                          </a:ln>
                        </wps:spPr>
                        <wps:bodyPr vert="horz" wrap="square" anchor="ctr" upright="1"/>
                      </wps:wsp>
                      <wps:wsp>
                        <wps:cNvPr id="11" name="等腰三角形 4"/>
                        <wps:cNvSpPr/>
                        <wps:spPr>
                          <a:xfrm>
                            <a:off x="4481" y="6927"/>
                            <a:ext cx="479" cy="211"/>
                          </a:xfrm>
                          <a:prstGeom prst="triangle">
                            <a:avLst>
                              <a:gd name="adj" fmla="val 51148"/>
                            </a:avLst>
                          </a:prstGeom>
                          <a:solidFill>
                            <a:srgbClr val="808080"/>
                          </a:solidFill>
                          <a:ln w="25400">
                            <a:noFill/>
                          </a:ln>
                        </wps:spPr>
                        <wps:bodyPr vert="horz" wrap="square" anchor="ctr" upright="1"/>
                      </wps:wsp>
                    </wpg:grpSp>
                    <wps:wsp>
                      <wps:cNvPr id="13" name="矩形 2"/>
                      <wps:cNvSpPr/>
                      <wps:spPr>
                        <a:xfrm>
                          <a:off x="3016" y="15777"/>
                          <a:ext cx="248" cy="174"/>
                        </a:xfrm>
                        <a:prstGeom prst="rect">
                          <a:avLst/>
                        </a:prstGeom>
                        <a:solidFill>
                          <a:srgbClr val="FFFFFF"/>
                        </a:solidFill>
                        <a:ln w="25400">
                          <a:noFill/>
                        </a:ln>
                      </wps:spPr>
                      <wps:bodyPr vert="horz" wrap="square" anchor="ctr" upright="1"/>
                    </wps:wsp>
                  </wpg:wgp>
                </a:graphicData>
              </a:graphic>
            </wp:anchor>
          </w:drawing>
        </mc:Choice>
        <mc:Fallback>
          <w:pict>
            <v:group id="_x0000_s1026" o:spid="_x0000_s1026" o:spt="203" style="position:absolute;left:0pt;margin-left:249.45pt;margin-top:8.55pt;height:12.6pt;width:14.1pt;z-index:251669504;mso-width-relative:page;mso-height-relative:page;" coordorigin="2998,15759" coordsize="282,252" o:gfxdata="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">
              <o:lock v:ext="edit" aspectratio="f"/>
              <v:group id="组合 8" o:spid="_x0000_s1026" o:spt="203" style="position:absolute;left:2998;top:15759;height:253;width:283;" coordorigin="4174,6177" coordsize="1074,960"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roundrect id="圆角矩形 1" o:spid="_x0000_s1026" o:spt="2" style="position:absolute;left:4174;top:6177;height:798;width:1074;v-text-anchor:middle;" fillcolor="#808080" filled="t" stroked="f" coordsize="21600,21600" arcsize="0.0930092592592592" o:gfxdata="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15mgLgAAADbAAAA&#10;DwAAAAAAAAABACAAAAAiAAAAZHJzL2Rvd25yZXYueG1sUEsBAhQAFAAAAAgAh07iQDMvBZ47AAAA&#10;OQAAABAAAAAAAAAAAQAgAAAABwEAAGRycy9zaGFwZXhtbC54bWxQSwUGAAAAAAYABgBbAQAAsQMA&#10;AAAA&#10;">
                  <v:fill on="t" focussize="0,0"/>
                  <v:stroke on="f" weight="2pt"/>
                  <v:imagedata o:title=""/>
                  <o:lock v:ext="edit" aspectratio="f"/>
                </v:roundrect>
                <v:rect id="矩形 3" o:spid="_x0000_s1026" o:spt="1" style="position:absolute;left:4564;top:6953;height:119;width:313;v-text-anchor:middle;" fillcolor="#808080" filled="t" stroked="f" coordsize="21600,21600" o:gfxdata="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ppCe8AAAA&#10;2wAAAA8AAAAAAAAAAQAgAAAAIgAAAGRycy9kb3ducmV2LnhtbFBLAQIUABQAAAAIAIdO4kAzLwWe&#10;OwAAADkAAAAQAAAAAAAAAAEAIAAAAAsBAABkcnMvc2hhcGV4bWwueG1sUEsFBgAAAAAGAAYAWwEA&#10;ALUDAAAAAA==&#10;">
                  <v:fill on="t" focussize="0,0"/>
                  <v:stroke on="f" weight="2pt"/>
                  <v:imagedata o:title=""/>
                  <o:lock v:ext="edit" aspectratio="f"/>
                </v:rect>
                <v:shape id="等腰三角形 4" o:spid="_x0000_s1026" o:spt="5" type="#_x0000_t5" style="position:absolute;left:4481;top:6927;height:211;width:479;v-text-anchor:middle;" fillcolor="#808080" filled="t" stroked="f" coordsize="21600,21600" o:gfxdata="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wrEQptwAAANsAAAAP&#10;AAAAAAAAAAEAIAAAACIAAABkcnMvZG93bnJldi54bWxQSwECFAAUAAAACACHTuJAMy8FnjsAAAA5&#10;AAAAEAAAAAAAAAABACAAAAAGAQAAZHJzL3NoYXBleG1sLnhtbFBLBQYAAAAABgAGAFsBAACwAwAA&#10;AAA=&#10;" adj="11048">
                  <v:fill on="t" focussize="0,0"/>
                  <v:stroke on="f" weight="2pt"/>
                  <v:imagedata o:title=""/>
                  <o:lock v:ext="edit" aspectratio="f"/>
                </v:shape>
              </v:group>
              <v:rect id="矩形 2" o:spid="_x0000_s1026" o:spt="1" style="position:absolute;left:3016;top:15777;height:174;width:248;v-text-anchor:middle;" fillcolor="#FFFFFF" filled="t" stroked="f" coordsize="21600,21600" o:gfxdata="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qtEZktwAAANsAAAAP&#10;AAAAAAAAAAEAIAAAACIAAABkcnMvZG93bnJldi54bWxQSwECFAAUAAAACACHTuJAMy8FnjsAAAA5&#10;AAAAEAAAAAAAAAABACAAAAAGAQAAZHJzL3NoYXBleG1sLnhtbFBLBQYAAAAABgAGAFsBAACwAwAA&#10;AAA=&#10;">
                <v:fill on="t" focussize="0,0"/>
                <v:stroke on="f" weight="2pt"/>
                <v:imagedata o:title=""/>
                <o:lock v:ext="edit" aspectratio="f"/>
              </v:rect>
            </v:group>
          </w:pict>
        </mc:Fallback>
      </mc:AlternateContent>
    </w:r>
    <w:r>
      <w:rPr>
        <w:sz w:val="18"/>
      </w:rPr>
      <mc:AlternateContent>
        <mc:Choice Requires="wpg">
          <w:drawing>
            <wp:anchor distT="0" distB="0" distL="114300" distR="114300" simplePos="0" relativeHeight="251671552" behindDoc="0" locked="0" layoutInCell="1" allowOverlap="1">
              <wp:simplePos x="0" y="0"/>
              <wp:positionH relativeFrom="column">
                <wp:posOffset>1229995</wp:posOffset>
              </wp:positionH>
              <wp:positionV relativeFrom="paragraph">
                <wp:posOffset>118745</wp:posOffset>
              </wp:positionV>
              <wp:extent cx="194310" cy="139065"/>
              <wp:effectExtent l="0" t="0" r="15240" b="13335"/>
              <wp:wrapNone/>
              <wp:docPr id="32" name="组合 32"/>
              <wp:cNvGraphicFramePr/>
              <a:graphic xmlns:a="http://schemas.openxmlformats.org/drawingml/2006/main">
                <a:graphicData uri="http://schemas.microsoft.com/office/word/2010/wordprocessingGroup">
                  <wpg:wgp>
                    <wpg:cNvGrpSpPr/>
                    <wpg:grpSpPr>
                      <a:xfrm>
                        <a:off x="0" y="0"/>
                        <a:ext cx="194310" cy="139065"/>
                        <a:chOff x="4310" y="15755"/>
                        <a:chExt cx="306" cy="219"/>
                      </a:xfrm>
                    </wpg:grpSpPr>
                    <wps:wsp>
                      <wps:cNvPr id="18" name="任意多边形 24"/>
                      <wps:cNvSpPr/>
                      <wps:spPr>
                        <a:xfrm>
                          <a:off x="4310" y="15772"/>
                          <a:ext cx="306" cy="202"/>
                        </a:xfrm>
                        <a:custGeom>
                          <a:avLst/>
                          <a:gdLst/>
                          <a:ahLst/>
                          <a:cxnLst>
                            <a:cxn ang="0">
                              <a:pos x="268" y="0"/>
                            </a:cxn>
                            <a:cxn ang="0">
                              <a:pos x="3643" y="2850"/>
                            </a:cxn>
                            <a:cxn ang="0">
                              <a:pos x="3815" y="3000"/>
                            </a:cxn>
                            <a:cxn ang="0">
                              <a:pos x="4061" y="3054"/>
                            </a:cxn>
                            <a:cxn ang="0">
                              <a:pos x="4372" y="3011"/>
                            </a:cxn>
                            <a:cxn ang="0">
                              <a:pos x="4586" y="2850"/>
                            </a:cxn>
                            <a:cxn ang="0">
                              <a:pos x="7843" y="97"/>
                            </a:cxn>
                            <a:cxn ang="0">
                              <a:pos x="8004" y="0"/>
                            </a:cxn>
                            <a:cxn ang="0">
                              <a:pos x="8207" y="22"/>
                            </a:cxn>
                            <a:cxn ang="0">
                              <a:pos x="8240" y="150"/>
                            </a:cxn>
                            <a:cxn ang="0">
                              <a:pos x="8218" y="5025"/>
                            </a:cxn>
                            <a:cxn ang="0">
                              <a:pos x="8165" y="5218"/>
                            </a:cxn>
                            <a:cxn ang="0">
                              <a:pos x="8015" y="5357"/>
                            </a:cxn>
                            <a:cxn ang="0">
                              <a:pos x="7822" y="5432"/>
                            </a:cxn>
                            <a:cxn ang="0">
                              <a:pos x="472" y="5432"/>
                            </a:cxn>
                            <a:cxn ang="0">
                              <a:pos x="300" y="5389"/>
                            </a:cxn>
                            <a:cxn ang="0">
                              <a:pos x="150" y="5250"/>
                            </a:cxn>
                            <a:cxn ang="0">
                              <a:pos x="54" y="5057"/>
                            </a:cxn>
                            <a:cxn ang="0">
                              <a:pos x="0" y="4843"/>
                            </a:cxn>
                            <a:cxn ang="0">
                              <a:pos x="0" y="4597"/>
                            </a:cxn>
                            <a:cxn ang="0">
                              <a:pos x="0" y="172"/>
                            </a:cxn>
                            <a:cxn ang="0">
                              <a:pos x="43" y="54"/>
                            </a:cxn>
                            <a:cxn ang="0">
                              <a:pos x="172" y="0"/>
                            </a:cxn>
                            <a:cxn ang="0">
                              <a:pos x="268" y="0"/>
                            </a:cxn>
                          </a:cxnLst>
                          <a:pathLst>
                            <a:path w="5232400" h="3449320">
                              <a:moveTo>
                                <a:pt x="170180" y="0"/>
                              </a:moveTo>
                              <a:lnTo>
                                <a:pt x="2313305" y="1809750"/>
                              </a:lnTo>
                              <a:lnTo>
                                <a:pt x="2422525" y="1905000"/>
                              </a:lnTo>
                              <a:lnTo>
                                <a:pt x="2578735" y="1939290"/>
                              </a:lnTo>
                              <a:lnTo>
                                <a:pt x="2776220" y="1911985"/>
                              </a:lnTo>
                              <a:lnTo>
                                <a:pt x="2912110" y="1809750"/>
                              </a:lnTo>
                              <a:lnTo>
                                <a:pt x="4980305" y="61595"/>
                              </a:lnTo>
                              <a:lnTo>
                                <a:pt x="5082540" y="0"/>
                              </a:lnTo>
                              <a:lnTo>
                                <a:pt x="5211445" y="13970"/>
                              </a:lnTo>
                              <a:lnTo>
                                <a:pt x="5232400" y="95250"/>
                              </a:lnTo>
                              <a:lnTo>
                                <a:pt x="5218430" y="3190875"/>
                              </a:lnTo>
                              <a:lnTo>
                                <a:pt x="5184775" y="3313430"/>
                              </a:lnTo>
                              <a:lnTo>
                                <a:pt x="5089525" y="3401695"/>
                              </a:lnTo>
                              <a:lnTo>
                                <a:pt x="4966970" y="3449320"/>
                              </a:lnTo>
                              <a:lnTo>
                                <a:pt x="299720" y="3449320"/>
                              </a:lnTo>
                              <a:lnTo>
                                <a:pt x="190500" y="3422015"/>
                              </a:lnTo>
                              <a:lnTo>
                                <a:pt x="95250" y="3333750"/>
                              </a:lnTo>
                              <a:lnTo>
                                <a:pt x="34290" y="3211195"/>
                              </a:lnTo>
                              <a:lnTo>
                                <a:pt x="0" y="3075305"/>
                              </a:lnTo>
                              <a:lnTo>
                                <a:pt x="0" y="2919095"/>
                              </a:lnTo>
                              <a:lnTo>
                                <a:pt x="0" y="109220"/>
                              </a:lnTo>
                              <a:lnTo>
                                <a:pt x="27305" y="34290"/>
                              </a:lnTo>
                              <a:lnTo>
                                <a:pt x="109220" y="0"/>
                              </a:lnTo>
                              <a:lnTo>
                                <a:pt x="170180" y="0"/>
                              </a:lnTo>
                              <a:close/>
                            </a:path>
                          </a:pathLst>
                        </a:custGeom>
                        <a:solidFill>
                          <a:srgbClr val="808080"/>
                        </a:solidFill>
                        <a:ln w="25400">
                          <a:noFill/>
                        </a:ln>
                      </wps:spPr>
                      <wps:bodyPr vert="horz" wrap="square" anchor="t" upright="1"/>
                    </wps:wsp>
                    <wps:wsp>
                      <wps:cNvPr id="19" name="任意多边形 26"/>
                      <wps:cNvSpPr/>
                      <wps:spPr>
                        <a:xfrm>
                          <a:off x="4330" y="15755"/>
                          <a:ext cx="265" cy="92"/>
                        </a:xfrm>
                        <a:custGeom>
                          <a:avLst/>
                          <a:gdLst/>
                          <a:ahLst/>
                          <a:cxnLst>
                            <a:cxn ang="0">
                              <a:pos x="129" y="0"/>
                            </a:cxn>
                            <a:cxn ang="0">
                              <a:pos x="6889" y="0"/>
                            </a:cxn>
                            <a:cxn ang="0">
                              <a:pos x="7039" y="22"/>
                            </a:cxn>
                            <a:cxn ang="0">
                              <a:pos x="7146" y="97"/>
                            </a:cxn>
                            <a:cxn ang="0">
                              <a:pos x="7146" y="204"/>
                            </a:cxn>
                            <a:cxn ang="0">
                              <a:pos x="7061" y="279"/>
                            </a:cxn>
                            <a:cxn ang="0">
                              <a:pos x="4093" y="2325"/>
                            </a:cxn>
                            <a:cxn ang="0">
                              <a:pos x="3879" y="2432"/>
                            </a:cxn>
                            <a:cxn ang="0">
                              <a:pos x="3621" y="2465"/>
                            </a:cxn>
                            <a:cxn ang="0">
                              <a:pos x="3343" y="2443"/>
                            </a:cxn>
                            <a:cxn ang="0">
                              <a:pos x="3086" y="2293"/>
                            </a:cxn>
                            <a:cxn ang="0">
                              <a:pos x="118" y="311"/>
                            </a:cxn>
                            <a:cxn ang="0">
                              <a:pos x="0" y="193"/>
                            </a:cxn>
                            <a:cxn ang="0">
                              <a:pos x="11" y="32"/>
                            </a:cxn>
                            <a:cxn ang="0">
                              <a:pos x="129" y="0"/>
                            </a:cxn>
                          </a:cxnLst>
                          <a:pathLst>
                            <a:path w="4537710" h="1565275">
                              <a:moveTo>
                                <a:pt x="81915" y="0"/>
                              </a:moveTo>
                              <a:lnTo>
                                <a:pt x="4374515" y="0"/>
                              </a:lnTo>
                              <a:lnTo>
                                <a:pt x="4469765" y="13970"/>
                              </a:lnTo>
                              <a:lnTo>
                                <a:pt x="4537710" y="61595"/>
                              </a:lnTo>
                              <a:lnTo>
                                <a:pt x="4537710" y="129540"/>
                              </a:lnTo>
                              <a:lnTo>
                                <a:pt x="4483735" y="177165"/>
                              </a:lnTo>
                              <a:lnTo>
                                <a:pt x="2599055" y="1476375"/>
                              </a:lnTo>
                              <a:lnTo>
                                <a:pt x="2463165" y="1544320"/>
                              </a:lnTo>
                              <a:lnTo>
                                <a:pt x="2299335" y="1565275"/>
                              </a:lnTo>
                              <a:lnTo>
                                <a:pt x="2122805" y="1551305"/>
                              </a:lnTo>
                              <a:lnTo>
                                <a:pt x="1959610" y="1456055"/>
                              </a:lnTo>
                              <a:lnTo>
                                <a:pt x="74930" y="197485"/>
                              </a:lnTo>
                              <a:lnTo>
                                <a:pt x="0" y="122555"/>
                              </a:lnTo>
                              <a:lnTo>
                                <a:pt x="6985" y="20320"/>
                              </a:lnTo>
                              <a:lnTo>
                                <a:pt x="81915" y="0"/>
                              </a:lnTo>
                              <a:close/>
                            </a:path>
                          </a:pathLst>
                        </a:custGeom>
                        <a:solidFill>
                          <a:srgbClr val="808080"/>
                        </a:solidFill>
                        <a:ln w="25400">
                          <a:noFill/>
                        </a:ln>
                      </wps:spPr>
                      <wps:bodyPr vert="horz" wrap="square" anchor="t" upright="1"/>
                    </wps:wsp>
                  </wpg:wgp>
                </a:graphicData>
              </a:graphic>
            </wp:anchor>
          </w:drawing>
        </mc:Choice>
        <mc:Fallback>
          <w:pict>
            <v:group id="_x0000_s1026" o:spid="_x0000_s1026" o:spt="203" style="position:absolute;left:0pt;margin-left:96.85pt;margin-top:9.35pt;height:10.95pt;width:15.3pt;z-index:251671552;mso-width-relative:page;mso-height-relative:page;" coordorigin="4310,15755" coordsize="306,219" o:gfxdata="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E91nhHZAAAACQEA&#10;AA8AAAAAAAAAAQAgAAAAIgAAAGRycy9kb3ducmV2LnhtbFBLAQIUABQAAAAIAIdO4kC8Y2RBqQUA&#10;AHUVAAAOAAAAAAAAAAEAIAAAACgBAABkcnMvZTJvRG9jLnhtbFBLBQYAAAAABgAGAFkBAABDCQAA&#10;AAA=&#10;">
              <o:lock v:ext="edit" aspectratio="f"/>
              <v:shape id="任意多边形 24" o:spid="_x0000_s1026" o:spt="100" style="position:absolute;left:4310;top:15772;height:202;width:306;" fillcolor="#808080" filled="t" stroked="f" coordsize="5232400,3449320" o:gfxdata="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03JRO/&#10;AAAA2wAAAA8AAAAAAAAAAQAgAAAAIgAAAGRycy9kb3ducmV2LnhtbFBLAQIUABQAAAAIAIdO4kAz&#10;LwWeOwAAADkAAAAQAAAAAAAAAAEAIAAAAA4BAABkcnMvc2hhcGV4bWwueG1sUEsFBgAAAAAGAAYA&#10;WwEAALgDAAAAAA==&#10;" path="m170180,0l2313305,1809750,2422525,1905000,2578735,1939290,2776220,1911985,2912110,1809750,4980305,61595,5082540,0,5211445,13970,5232400,95250,5218430,3190875,5184775,3313430,5089525,3401695,4966970,3449320,299720,3449320,190500,3422015,95250,3333750,34290,3211195,0,3075305,0,2919095,0,109220,27305,34290,109220,0,170180,0xe">
                <v:path o:connectlocs="268,0;3643,2850;3815,3000;4061,3054;4372,3011;4586,2850;7843,97;8004,0;8207,22;8240,150;8218,5025;8165,5218;8015,5357;7822,5432;472,5432;300,5389;150,5250;54,5057;0,4843;0,4597;0,172;43,54;172,0;268,0" o:connectangles="0,0,0,0,0,0,0,0,0,0,0,0,0,0,0,0,0,0,0,0,0,0,0,0"/>
                <v:fill on="t" focussize="0,0"/>
                <v:stroke on="f" weight="2pt"/>
                <v:imagedata o:title=""/>
                <o:lock v:ext="edit" aspectratio="f"/>
              </v:shape>
              <v:shape id="任意多边形 26" o:spid="_x0000_s1026" o:spt="100" style="position:absolute;left:4330;top:15755;height:92;width:265;" fillcolor="#808080" filled="t" stroked="f" coordsize="4537710,1565275" o:gfxdata="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CckiugAAANsA&#10;AAAPAAAAAAAAAAEAIAAAACIAAABkcnMvZG93bnJldi54bWxQSwECFAAUAAAACACHTuJAMy8FnjsA&#10;AAA5AAAAEAAAAAAAAAABACAAAAAJAQAAZHJzL3NoYXBleG1sLnhtbFBLBQYAAAAABgAGAFsBAACz&#10;AwAAAAA=&#10;" path="m81915,0l4374515,0,4469765,13970,4537710,61595,4537710,129540,4483735,177165,2599055,1476375,2463165,1544320,2299335,1565275,2122805,1551305,1959610,1456055,74930,197485,0,122555,6985,20320,81915,0xe">
                <v:path o:connectlocs="129,0;6889,0;7039,22;7146,97;7146,204;7061,279;4093,2325;3879,2432;3621,2465;3343,2443;3086,2293;118,311;0,193;11,32;129,0" o:connectangles="0,0,0,0,0,0,0,0,0,0,0,0,0,0,0"/>
                <v:fill on="t" focussize="0,0"/>
                <v:stroke on="f" weight="2pt"/>
                <v:imagedata o:title=""/>
                <o:lock v:ext="edit" aspectratio="f"/>
              </v:shape>
            </v:group>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column">
                <wp:posOffset>88265</wp:posOffset>
              </wp:positionH>
              <wp:positionV relativeFrom="paragraph">
                <wp:posOffset>109220</wp:posOffset>
              </wp:positionV>
              <wp:extent cx="110490" cy="158115"/>
              <wp:effectExtent l="0" t="0" r="3810" b="13335"/>
              <wp:wrapNone/>
              <wp:docPr id="33" name="任意多边形 23"/>
              <wp:cNvGraphicFramePr/>
              <a:graphic xmlns:a="http://schemas.openxmlformats.org/drawingml/2006/main">
                <a:graphicData uri="http://schemas.microsoft.com/office/word/2010/wordprocessingShape">
                  <wps:wsp>
                    <wps:cNvSpPr/>
                    <wps:spPr>
                      <a:xfrm>
                        <a:off x="0" y="0"/>
                        <a:ext cx="110490" cy="158115"/>
                      </a:xfrm>
                      <a:custGeom>
                        <a:avLst/>
                        <a:gdLst/>
                        <a:ahLst/>
                        <a:cxnLst>
                          <a:cxn ang="0">
                            <a:pos x="132820" y="217034"/>
                          </a:cxn>
                          <a:cxn ang="0">
                            <a:pos x="142944" y="211036"/>
                          </a:cxn>
                          <a:cxn ang="0">
                            <a:pos x="156070" y="206518"/>
                          </a:cxn>
                          <a:cxn ang="0">
                            <a:pos x="169556" y="206518"/>
                          </a:cxn>
                          <a:cxn ang="0">
                            <a:pos x="180441" y="211036"/>
                          </a:cxn>
                          <a:cxn ang="0">
                            <a:pos x="212336" y="247022"/>
                          </a:cxn>
                          <a:cxn ang="0">
                            <a:pos x="219459" y="258617"/>
                          </a:cxn>
                          <a:cxn ang="0">
                            <a:pos x="220980" y="269893"/>
                          </a:cxn>
                          <a:cxn ang="0">
                            <a:pos x="220219" y="280009"/>
                          </a:cxn>
                          <a:cxn ang="0">
                            <a:pos x="214977" y="290484"/>
                          </a:cxn>
                          <a:cxn ang="0">
                            <a:pos x="208974" y="297602"/>
                          </a:cxn>
                          <a:cxn ang="0">
                            <a:pos x="179681" y="313755"/>
                          </a:cxn>
                          <a:cxn ang="0">
                            <a:pos x="171437" y="315595"/>
                          </a:cxn>
                          <a:cxn ang="0">
                            <a:pos x="160192" y="315595"/>
                          </a:cxn>
                          <a:cxn ang="0">
                            <a:pos x="147826" y="312236"/>
                          </a:cxn>
                          <a:cxn ang="0">
                            <a:pos x="132419" y="303999"/>
                          </a:cxn>
                          <a:cxn ang="0">
                            <a:pos x="118173" y="293883"/>
                          </a:cxn>
                          <a:cxn ang="0">
                            <a:pos x="100525" y="277769"/>
                          </a:cxn>
                          <a:cxn ang="0">
                            <a:pos x="84798" y="259777"/>
                          </a:cxn>
                          <a:cxn ang="0">
                            <a:pos x="63388" y="231628"/>
                          </a:cxn>
                          <a:cxn ang="0">
                            <a:pos x="42379" y="199401"/>
                          </a:cxn>
                          <a:cxn ang="0">
                            <a:pos x="32254" y="178809"/>
                          </a:cxn>
                          <a:cxn ang="0">
                            <a:pos x="21369" y="155538"/>
                          </a:cxn>
                          <a:cxn ang="0">
                            <a:pos x="10884" y="125550"/>
                          </a:cxn>
                          <a:cxn ang="0">
                            <a:pos x="4482" y="101199"/>
                          </a:cxn>
                          <a:cxn ang="0">
                            <a:pos x="360" y="74210"/>
                          </a:cxn>
                          <a:cxn ang="0">
                            <a:pos x="0" y="50579"/>
                          </a:cxn>
                          <a:cxn ang="0">
                            <a:pos x="3001" y="33706"/>
                          </a:cxn>
                          <a:cxn ang="0">
                            <a:pos x="9764" y="20231"/>
                          </a:cxn>
                          <a:cxn ang="0">
                            <a:pos x="18008" y="14234"/>
                          </a:cxn>
                          <a:cxn ang="0">
                            <a:pos x="42019" y="2239"/>
                          </a:cxn>
                          <a:cxn ang="0">
                            <a:pos x="55905" y="0"/>
                          </a:cxn>
                          <a:cxn ang="0">
                            <a:pos x="69791" y="2998"/>
                          </a:cxn>
                          <a:cxn ang="0">
                            <a:pos x="79155" y="8596"/>
                          </a:cxn>
                          <a:cxn ang="0">
                            <a:pos x="88920" y="18712"/>
                          </a:cxn>
                          <a:cxn ang="0">
                            <a:pos x="93402" y="28108"/>
                          </a:cxn>
                          <a:cxn ang="0">
                            <a:pos x="103927" y="54338"/>
                          </a:cxn>
                          <a:cxn ang="0">
                            <a:pos x="106528" y="68972"/>
                          </a:cxn>
                          <a:cxn ang="0">
                            <a:pos x="104647" y="79448"/>
                          </a:cxn>
                          <a:cxn ang="0">
                            <a:pos x="100165" y="89964"/>
                          </a:cxn>
                          <a:cxn ang="0">
                            <a:pos x="91521" y="99320"/>
                          </a:cxn>
                          <a:cxn ang="0">
                            <a:pos x="75794" y="108676"/>
                          </a:cxn>
                          <a:cxn ang="0">
                            <a:pos x="72032" y="110556"/>
                          </a:cxn>
                          <a:cxn ang="0">
                            <a:pos x="78035" y="126669"/>
                          </a:cxn>
                          <a:cxn ang="0">
                            <a:pos x="85918" y="146182"/>
                          </a:cxn>
                          <a:cxn ang="0">
                            <a:pos x="95283" y="164934"/>
                          </a:cxn>
                          <a:cxn ang="0">
                            <a:pos x="108409" y="186646"/>
                          </a:cxn>
                          <a:cxn ang="0">
                            <a:pos x="117813" y="200520"/>
                          </a:cxn>
                          <a:cxn ang="0">
                            <a:pos x="129058" y="214395"/>
                          </a:cxn>
                          <a:cxn ang="0">
                            <a:pos x="132820" y="217034"/>
                          </a:cxn>
                        </a:cxnLst>
                        <a:pathLst>
                          <a:path w="3506470" h="5012055">
                            <a:moveTo>
                              <a:pt x="2107565" y="3446780"/>
                            </a:moveTo>
                            <a:lnTo>
                              <a:pt x="2268220" y="3351530"/>
                            </a:lnTo>
                            <a:lnTo>
                              <a:pt x="2476500" y="3279775"/>
                            </a:lnTo>
                            <a:lnTo>
                              <a:pt x="2690495" y="3279775"/>
                            </a:lnTo>
                            <a:lnTo>
                              <a:pt x="2863215" y="3351530"/>
                            </a:lnTo>
                            <a:lnTo>
                              <a:pt x="3369310" y="3923030"/>
                            </a:lnTo>
                            <a:lnTo>
                              <a:pt x="3482340" y="4107180"/>
                            </a:lnTo>
                            <a:lnTo>
                              <a:pt x="3506470" y="4286250"/>
                            </a:lnTo>
                            <a:lnTo>
                              <a:pt x="3494405" y="4446905"/>
                            </a:lnTo>
                            <a:lnTo>
                              <a:pt x="3411220" y="4613275"/>
                            </a:lnTo>
                            <a:lnTo>
                              <a:pt x="3315970" y="4726305"/>
                            </a:lnTo>
                            <a:lnTo>
                              <a:pt x="2851150" y="4982845"/>
                            </a:lnTo>
                            <a:lnTo>
                              <a:pt x="2720340" y="5012055"/>
                            </a:lnTo>
                            <a:lnTo>
                              <a:pt x="2541905" y="5012055"/>
                            </a:lnTo>
                            <a:lnTo>
                              <a:pt x="2345690" y="4958715"/>
                            </a:lnTo>
                            <a:lnTo>
                              <a:pt x="2101215" y="4827905"/>
                            </a:lnTo>
                            <a:lnTo>
                              <a:pt x="1875155" y="4667250"/>
                            </a:lnTo>
                            <a:lnTo>
                              <a:pt x="1595120" y="4411345"/>
                            </a:lnTo>
                            <a:lnTo>
                              <a:pt x="1345565" y="4125595"/>
                            </a:lnTo>
                            <a:lnTo>
                              <a:pt x="1005840" y="3678555"/>
                            </a:lnTo>
                            <a:lnTo>
                              <a:pt x="672465" y="3166745"/>
                            </a:lnTo>
                            <a:lnTo>
                              <a:pt x="511810" y="2839720"/>
                            </a:lnTo>
                            <a:lnTo>
                              <a:pt x="339090" y="2470150"/>
                            </a:lnTo>
                            <a:lnTo>
                              <a:pt x="172720" y="1993900"/>
                            </a:lnTo>
                            <a:lnTo>
                              <a:pt x="71120" y="1607185"/>
                            </a:lnTo>
                            <a:lnTo>
                              <a:pt x="5715" y="1178560"/>
                            </a:lnTo>
                            <a:lnTo>
                              <a:pt x="0" y="803275"/>
                            </a:lnTo>
                            <a:lnTo>
                              <a:pt x="47625" y="535305"/>
                            </a:lnTo>
                            <a:lnTo>
                              <a:pt x="154940" y="321310"/>
                            </a:lnTo>
                            <a:lnTo>
                              <a:pt x="285750" y="226060"/>
                            </a:lnTo>
                            <a:lnTo>
                              <a:pt x="666750" y="35560"/>
                            </a:lnTo>
                            <a:lnTo>
                              <a:pt x="887095" y="0"/>
                            </a:lnTo>
                            <a:lnTo>
                              <a:pt x="1107440" y="47625"/>
                            </a:lnTo>
                            <a:lnTo>
                              <a:pt x="1256030" y="136525"/>
                            </a:lnTo>
                            <a:lnTo>
                              <a:pt x="1410970" y="297180"/>
                            </a:lnTo>
                            <a:lnTo>
                              <a:pt x="1482090" y="446405"/>
                            </a:lnTo>
                            <a:lnTo>
                              <a:pt x="1649095" y="862965"/>
                            </a:lnTo>
                            <a:lnTo>
                              <a:pt x="1690370" y="1095375"/>
                            </a:lnTo>
                            <a:lnTo>
                              <a:pt x="1660525" y="1261745"/>
                            </a:lnTo>
                            <a:lnTo>
                              <a:pt x="1589405" y="1428750"/>
                            </a:lnTo>
                            <a:lnTo>
                              <a:pt x="1452245" y="1577340"/>
                            </a:lnTo>
                            <a:lnTo>
                              <a:pt x="1202690" y="1725930"/>
                            </a:lnTo>
                            <a:lnTo>
                              <a:pt x="1143000" y="1755775"/>
                            </a:lnTo>
                            <a:lnTo>
                              <a:pt x="1238250" y="2011680"/>
                            </a:lnTo>
                            <a:lnTo>
                              <a:pt x="1363345" y="2321560"/>
                            </a:lnTo>
                            <a:lnTo>
                              <a:pt x="1511935" y="2619375"/>
                            </a:lnTo>
                            <a:lnTo>
                              <a:pt x="1720215" y="2964180"/>
                            </a:lnTo>
                            <a:lnTo>
                              <a:pt x="1869440" y="3184525"/>
                            </a:lnTo>
                            <a:lnTo>
                              <a:pt x="2047875" y="3404870"/>
                            </a:lnTo>
                            <a:lnTo>
                              <a:pt x="2107565" y="3446780"/>
                            </a:lnTo>
                            <a:close/>
                          </a:path>
                        </a:pathLst>
                      </a:custGeom>
                      <a:solidFill>
                        <a:srgbClr val="808080"/>
                      </a:solidFill>
                      <a:ln w="25400">
                        <a:noFill/>
                      </a:ln>
                    </wps:spPr>
                    <wps:bodyPr vert="horz" wrap="square" anchor="t" upright="1"/>
                  </wps:wsp>
                </a:graphicData>
              </a:graphic>
            </wp:anchor>
          </w:drawing>
        </mc:Choice>
        <mc:Fallback>
          <w:pict>
            <v:shape id="任意多边形 23" o:spid="_x0000_s1026" o:spt="100" style="position:absolute;left:0pt;margin-left:6.95pt;margin-top:8.6pt;height:12.45pt;width:8.7pt;z-index:251668480;mso-width-relative:page;mso-height-relative:page;" fillcolor="#808080" filled="t" stroked="f" coordsize="3506470,5012055" o:gfxdata="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" path="m2107565,3446780l2268220,3351530,2476500,3279775,2690495,3279775,2863215,3351530,3369310,3923030,3482340,4107180,3506470,4286250,3494405,4446905,3411220,4613275,3315970,4726305,2851150,4982845,2720340,5012055,2541905,5012055,2345690,4958715,2101215,4827905,1875155,4667250,1595120,4411345,1345565,4125595,1005840,3678555,672465,3166745,511810,2839720,339090,2470150,172720,1993900,71120,1607185,5715,1178560,0,803275,47625,535305,154940,321310,285750,226060,666750,35560,887095,0,1107440,47625,1256030,136525,1410970,297180,1482090,446405,1649095,862965,1690370,1095375,1660525,1261745,1589405,1428750,1452245,1577340,1202690,1725930,1143000,1755775,1238250,2011680,1363345,2321560,1511935,2619375,1720215,2964180,1869440,3184525,2047875,3404870,2107565,3446780xe">
              <v:path o:connectlocs="132820,217034;142944,211036;156070,206518;169556,206518;180441,211036;212336,247022;219459,258617;220980,269893;220219,280009;214977,290484;208974,297602;179681,313755;171437,315595;160192,315595;147826,312236;132419,303999;118173,293883;100525,277769;84798,259777;63388,231628;42379,199401;32254,178809;21369,155538;10884,125550;4482,101199;360,74210;0,50579;3001,33706;9764,20231;18008,14234;42019,2239;55905,0;69791,2998;79155,8596;88920,18712;93402,28108;103927,54338;106528,68972;104647,79448;100165,89964;91521,99320;75794,108676;72032,110556;78035,126669;85918,146182;95283,164934;108409,186646;117813,200520;129058,214395;132820,217034" o:connectangles="0,0,0,0,0,0,0,0,0,0,0,0,0,0,0,0,0,0,0,0,0,0,0,0,0,0,0,0,0,0,0,0,0,0,0,0,0,0,0,0,0,0,0,0,0,0,0,0,0,0"/>
              <v:fill on="t" focussize="0,0"/>
              <v:stroke on="f" weight="2pt"/>
              <v:imagedata o:title=""/>
              <o:lock v:ext="edit" aspectratio="f"/>
            </v:shape>
          </w:pict>
        </mc:Fallback>
      </mc:AlternateContent>
    </w:r>
  </w:p>
  <w:p w14:paraId="69234A83">
    <w:pPr>
      <w:pStyle w:val="21"/>
      <w:rPr>
        <w:rFonts w:hint="eastAsia" w:eastAsia="宋体"/>
        <w:lang w:eastAsia="zh-CN"/>
      </w:rPr>
    </w:pPr>
  </w:p>
  <w:p w14:paraId="7522A087">
    <w:pPr>
      <w:pStyle w:val="21"/>
    </w:pPr>
    <w:r>
      <w:rPr>
        <w:sz w:val="18"/>
      </w:rPr>
      <mc:AlternateContent>
        <mc:Choice Requires="wpg">
          <w:drawing>
            <wp:anchor distT="0" distB="0" distL="114300" distR="114300" simplePos="0" relativeHeight="251670528" behindDoc="0" locked="0" layoutInCell="1" allowOverlap="1">
              <wp:simplePos x="0" y="0"/>
              <wp:positionH relativeFrom="column">
                <wp:posOffset>77470</wp:posOffset>
              </wp:positionH>
              <wp:positionV relativeFrom="paragraph">
                <wp:posOffset>78105</wp:posOffset>
              </wp:positionV>
              <wp:extent cx="145415" cy="146685"/>
              <wp:effectExtent l="0" t="0" r="6985" b="44450"/>
              <wp:wrapNone/>
              <wp:docPr id="17" name="组合 33"/>
              <wp:cNvGraphicFramePr/>
              <a:graphic xmlns:a="http://schemas.openxmlformats.org/drawingml/2006/main">
                <a:graphicData uri="http://schemas.microsoft.com/office/word/2010/wordprocessingGroup">
                  <wpg:wgp>
                    <wpg:cNvGrpSpPr/>
                    <wpg:grpSpPr>
                      <a:xfrm>
                        <a:off x="0" y="0"/>
                        <a:ext cx="145415" cy="146685"/>
                        <a:chOff x="2495" y="16108"/>
                        <a:chExt cx="252" cy="254"/>
                      </a:xfrm>
                    </wpg:grpSpPr>
                    <wps:wsp>
                      <wps:cNvPr id="15" name="泪滴形 114"/>
                      <wps:cNvSpPr/>
                      <wps:spPr>
                        <a:xfrm rot="8160000">
                          <a:off x="2495" y="16108"/>
                          <a:ext cx="253" cy="255"/>
                        </a:xfrm>
                        <a:custGeom>
                          <a:avLst/>
                          <a:gdLst/>
                          <a:ahLst/>
                          <a:cxnLst>
                            <a:cxn ang="0">
                              <a:pos x="505" y="254"/>
                            </a:cxn>
                            <a:cxn ang="5400000">
                              <a:pos x="431" y="433"/>
                            </a:cxn>
                            <a:cxn ang="5400000">
                              <a:pos x="252" y="508"/>
                            </a:cxn>
                            <a:cxn ang="5400000">
                              <a:pos x="73" y="433"/>
                            </a:cxn>
                            <a:cxn ang="10800000">
                              <a:pos x="0" y="254"/>
                            </a:cxn>
                            <a:cxn ang="16200000">
                              <a:pos x="73" y="74"/>
                            </a:cxn>
                            <a:cxn ang="16200000">
                              <a:pos x="252" y="0"/>
                            </a:cxn>
                            <a:cxn ang="16200000">
                              <a:pos x="505" y="0"/>
                            </a:cxn>
                          </a:cxnLst>
                          <a:pathLst>
                            <a:path w="505" h="508">
                              <a:moveTo>
                                <a:pt x="0" y="254"/>
                              </a:moveTo>
                              <a:cubicBezTo>
                                <a:pt x="0" y="114"/>
                                <a:pt x="113" y="0"/>
                                <a:pt x="252" y="0"/>
                              </a:cubicBezTo>
                              <a:cubicBezTo>
                                <a:pt x="336" y="0"/>
                                <a:pt x="420" y="0"/>
                                <a:pt x="505" y="0"/>
                              </a:cubicBezTo>
                              <a:cubicBezTo>
                                <a:pt x="505" y="84"/>
                                <a:pt x="505" y="169"/>
                                <a:pt x="505" y="254"/>
                              </a:cubicBezTo>
                              <a:cubicBezTo>
                                <a:pt x="505" y="394"/>
                                <a:pt x="392" y="508"/>
                                <a:pt x="253" y="508"/>
                              </a:cubicBezTo>
                              <a:cubicBezTo>
                                <a:pt x="114" y="508"/>
                                <a:pt x="1" y="394"/>
                                <a:pt x="1" y="254"/>
                              </a:cubicBezTo>
                              <a:close/>
                            </a:path>
                          </a:pathLst>
                        </a:custGeom>
                        <a:solidFill>
                          <a:srgbClr val="808080"/>
                        </a:solidFill>
                        <a:ln w="25400">
                          <a:noFill/>
                        </a:ln>
                      </wps:spPr>
                      <wps:bodyPr vert="horz" wrap="square" anchor="ctr" upright="1"/>
                    </wps:wsp>
                    <wps:wsp>
                      <wps:cNvPr id="16" name="椭圆 115"/>
                      <wps:cNvSpPr/>
                      <wps:spPr>
                        <a:xfrm>
                          <a:off x="2560" y="16171"/>
                          <a:ext cx="124" cy="124"/>
                        </a:xfrm>
                        <a:prstGeom prst="ellipse">
                          <a:avLst/>
                        </a:prstGeom>
                        <a:solidFill>
                          <a:srgbClr val="FFFFFF"/>
                        </a:solidFill>
                        <a:ln w="25400">
                          <a:noFill/>
                        </a:ln>
                      </wps:spPr>
                      <wps:bodyPr vert="horz" wrap="square" anchor="ctr" upright="1"/>
                    </wps:wsp>
                  </wpg:wgp>
                </a:graphicData>
              </a:graphic>
            </wp:anchor>
          </w:drawing>
        </mc:Choice>
        <mc:Fallback>
          <w:pict>
            <v:group id="组合 33" o:spid="_x0000_s1026" o:spt="203" style="position:absolute;left:0pt;margin-left:6.1pt;margin-top:6.15pt;height:11.55pt;width:11.45pt;z-index:251670528;mso-width-relative:page;mso-height-relative:page;" coordorigin="2495,16108" coordsize="252,254" o:gfxdata="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SvEOvNQAAAAHAQAA&#10;DwAAAAAAAAABACAAAAAiAAAAZHJzL2Rvd25yZXYueG1sUEsBAhQAFAAAAAgAh07iQBv6yiasAwAA&#10;iwoAAA4AAAAAAAAAAQAgAAAAIwEAAGRycy9lMm9Eb2MueG1sUEsFBgAAAAAGAAYAWQEAAEEHAAAA&#10;AA==&#10;">
              <o:lock v:ext="edit" aspectratio="f"/>
              <v:shape id="泪滴形 114" o:spid="_x0000_s1026" o:spt="100" style="position:absolute;left:2495;top:16108;height:255;width:253;rotation:8912896f;v-text-anchor:middle;" fillcolor="#808080" filled="t" stroked="f" coordsize="505,508" o:gfxdata="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uj7sAAADb&#10;AAAADwAAAAAAAAABACAAAAAiAAAAZHJzL2Rvd25yZXYueG1sUEsBAhQAFAAAAAgAh07iQDMvBZ47&#10;AAAAOQAAABAAAAAAAAAAAQAgAAAACgEAAGRycy9zaGFwZXhtbC54bWxQSwUGAAAAAAYABgBbAQAA&#10;tAMAAAAA&#10;" path="m0,254c0,114,113,0,252,0c336,0,420,0,505,0c505,84,505,169,505,254c505,394,392,508,253,508c114,508,1,394,1,254xe">
                <v:path o:connectlocs="505,254;431,433;252,508;73,433;0,254;73,74;252,0;505,0" o:connectangles="0,82,82,82,164,247,247,247"/>
                <v:fill on="t" focussize="0,0"/>
                <v:stroke on="f" weight="2pt"/>
                <v:imagedata o:title=""/>
                <o:lock v:ext="edit" aspectratio="f"/>
              </v:shape>
              <v:shape id="椭圆 115" o:spid="_x0000_s1026" o:spt="3" type="#_x0000_t3" style="position:absolute;left:2560;top:16171;height:124;width:124;v-text-anchor:middle;" fillcolor="#FFFFFF" filled="t" stroked="f" coordsize="21600,21600" o:gfxdata="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bkI28AAAA&#10;2wAAAA8AAAAAAAAAAQAgAAAAIgAAAGRycy9kb3ducmV2LnhtbFBLAQIUABQAAAAIAIdO4kAzLwWe&#10;OwAAADkAAAAQAAAAAAAAAAEAIAAAAAsBAABkcnMvc2hhcGV4bWwueG1sUEsFBgAAAAAGAAYAWwEA&#10;ALUDAAAAAA==&#10;">
                <v:fill on="t" focussize="0,0"/>
                <v:stroke on="f" weight="2pt"/>
                <v:imagedata o:title=""/>
                <o:lock v:ext="edit" aspectratio="f"/>
              </v:shape>
            </v:group>
          </w:pict>
        </mc:Fallback>
      </mc:AlternateContent>
    </w:r>
  </w:p>
  <w:p w14:paraId="5659E6E2">
    <w:pPr>
      <w:pStyle w:val="21"/>
    </w:pPr>
    <w:r>
      <w:rPr>
        <w:sz w:val="18"/>
      </w:rPr>
      <mc:AlternateContent>
        <mc:Choice Requires="wps">
          <w:drawing>
            <wp:anchor distT="0" distB="0" distL="114300" distR="114300" simplePos="0" relativeHeight="251678720" behindDoc="0" locked="0" layoutInCell="1" allowOverlap="1">
              <wp:simplePos x="0" y="0"/>
              <wp:positionH relativeFrom="margin">
                <wp:posOffset>2683510</wp:posOffset>
              </wp:positionH>
              <wp:positionV relativeFrom="paragraph">
                <wp:posOffset>137795</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94C03">
                          <w:pPr>
                            <w:pStyle w:val="2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1.3pt;margin-top:10.85pt;height:144pt;width:144pt;mso-position-horizontal-relative:margin;mso-wrap-style:none;z-index:251678720;mso-width-relative:page;mso-height-relative:page;" filled="f" stroked="f" coordsize="21600,21600" o:gfxdata="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GZ0wmrXAAAACgEAAA8AAAAAAAAAAQAgAAAAIgAAAGRycy9kb3ducmV2Lnht&#10;bFBLAQIUABQAAAAIAIdO4kB41l13MwIAAGMEAAAOAAAAAAAAAAEAIAAAACYBAABkcnMvZTJvRG9j&#10;LnhtbFBLBQYAAAAABgAGAFkBAADLBQAAAAA=&#10;">
              <v:fill on="f" focussize="0,0"/>
              <v:stroke on="f" weight="0.5pt"/>
              <v:imagedata o:title=""/>
              <o:lock v:ext="edit" aspectratio="f"/>
              <v:textbox inset="0mm,0mm,0mm,0mm" style="mso-fit-shape-to-text:t;">
                <w:txbxContent>
                  <w:p w14:paraId="3A494C03">
                    <w:pPr>
                      <w:pStyle w:val="2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877CF">
    <w:pPr>
      <w:pBdr>
        <w:bottom w:val="none" w:color="auto" w:sz="0" w:space="0"/>
      </w:pBdr>
      <w:ind w:firstLine="2880" w:firstLineChars="900"/>
      <w:jc w:val="center"/>
      <w:rPr>
        <w:rFonts w:hint="eastAsia" w:ascii="微软雅黑" w:hAnsi="微软雅黑" w:eastAsia="微软雅黑" w:cs="微软雅黑"/>
        <w:b/>
        <w:kern w:val="0"/>
        <w:sz w:val="36"/>
        <w:szCs w:val="15"/>
        <w:lang w:val="en-US" w:eastAsia="zh-CN"/>
      </w:rPr>
    </w:pPr>
    <w:r>
      <w:rPr>
        <w:sz w:val="32"/>
      </w:rPr>
      <mc:AlternateContent>
        <mc:Choice Requires="wps">
          <w:drawing>
            <wp:anchor distT="0" distB="0" distL="114300" distR="114300" simplePos="0" relativeHeight="251680768" behindDoc="0" locked="0" layoutInCell="1" allowOverlap="1">
              <wp:simplePos x="0" y="0"/>
              <wp:positionH relativeFrom="column">
                <wp:posOffset>3355340</wp:posOffset>
              </wp:positionH>
              <wp:positionV relativeFrom="paragraph">
                <wp:posOffset>308610</wp:posOffset>
              </wp:positionV>
              <wp:extent cx="2736850" cy="276860"/>
              <wp:effectExtent l="0" t="0" r="0" b="0"/>
              <wp:wrapNone/>
              <wp:docPr id="2" name="文本框 3"/>
              <wp:cNvGraphicFramePr/>
              <a:graphic xmlns:a="http://schemas.openxmlformats.org/drawingml/2006/main">
                <a:graphicData uri="http://schemas.microsoft.com/office/word/2010/wordprocessingShape">
                  <wps:wsp>
                    <wps:cNvSpPr txBox="1"/>
                    <wps:spPr>
                      <a:xfrm>
                        <a:off x="0" y="0"/>
                        <a:ext cx="2736850" cy="276860"/>
                      </a:xfrm>
                      <a:prstGeom prst="rect">
                        <a:avLst/>
                      </a:prstGeom>
                      <a:noFill/>
                      <a:ln w="15875">
                        <a:noFill/>
                      </a:ln>
                    </wps:spPr>
                    <wps:txbx>
                      <w:txbxContent>
                        <w:p w14:paraId="5E5FBAE1">
                          <w:pPr>
                            <w:jc w:val="distribute"/>
                          </w:pPr>
                          <w:r>
                            <w:rPr>
                              <w:rFonts w:hint="eastAsia" w:ascii="微软雅黑" w:hAnsi="微软雅黑" w:eastAsia="微软雅黑" w:cs="微软雅黑"/>
                              <w:b w:val="0"/>
                              <w:bCs/>
                              <w:kern w:val="0"/>
                              <w:sz w:val="18"/>
                              <w:szCs w:val="11"/>
                              <w:lang w:val="en-US" w:eastAsia="zh-CN"/>
                            </w:rPr>
                            <w:t>Qinghai Guode Tendering Agency Co., Ltd</w:t>
                          </w:r>
                        </w:p>
                      </w:txbxContent>
                    </wps:txbx>
                    <wps:bodyPr vert="horz" wrap="square" anchor="t" upright="1"/>
                  </wps:wsp>
                </a:graphicData>
              </a:graphic>
            </wp:anchor>
          </w:drawing>
        </mc:Choice>
        <mc:Fallback>
          <w:pict>
            <v:shape id="文本框 3" o:spid="_x0000_s1026" o:spt="202" type="#_x0000_t202" style="position:absolute;left:0pt;margin-left:264.2pt;margin-top:24.3pt;height:21.8pt;width:215.5pt;z-index:251680768;mso-width-relative:page;mso-height-relative:page;" filled="f" stroked="f" coordsize="21600,21600" o:gfxdata="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XYEyDbAAAACQEAAA8AAAAAAAAAAQAgAAAA&#10;IgAAAGRycy9kb3ducmV2LnhtbFBLAQIUABQAAAAIAIdO4kC0af1wzwEAAH0DAAAOAAAAAAAAAAEA&#10;IAAAACoBAABkcnMvZTJvRG9jLnhtbFBLBQYAAAAABgAGAFkBAABrBQAAAAA=&#10;">
              <v:fill on="f" focussize="0,0"/>
              <v:stroke on="f" weight="1.25pt"/>
              <v:imagedata o:title=""/>
              <o:lock v:ext="edit" aspectratio="f"/>
              <v:textbox>
                <w:txbxContent>
                  <w:p w14:paraId="5E5FBAE1">
                    <w:pPr>
                      <w:jc w:val="distribute"/>
                    </w:pPr>
                    <w:r>
                      <w:rPr>
                        <w:rFonts w:hint="eastAsia" w:ascii="微软雅黑" w:hAnsi="微软雅黑" w:eastAsia="微软雅黑" w:cs="微软雅黑"/>
                        <w:b w:val="0"/>
                        <w:bCs/>
                        <w:kern w:val="0"/>
                        <w:sz w:val="18"/>
                        <w:szCs w:val="11"/>
                        <w:lang w:val="en-US" w:eastAsia="zh-CN"/>
                      </w:rPr>
                      <w:t>Qinghai Guode Tendering Agency Co., Ltd</w:t>
                    </w:r>
                  </w:p>
                </w:txbxContent>
              </v:textbox>
            </v:shape>
          </w:pict>
        </mc:Fallback>
      </mc:AlternateContent>
    </w:r>
    <w:r>
      <w:rPr>
        <w:rFonts w:hint="eastAsia"/>
      </w:rPr>
      <w:t xml:space="preserve">                       </w:t>
    </w:r>
    <w:r>
      <w:rPr>
        <w:sz w:val="32"/>
      </w:rPr>
      <mc:AlternateContent>
        <mc:Choice Requires="wps">
          <w:drawing>
            <wp:anchor distT="0" distB="0" distL="114300" distR="114300" simplePos="0" relativeHeight="251665408" behindDoc="1" locked="0" layoutInCell="1" allowOverlap="1">
              <wp:simplePos x="0" y="0"/>
              <wp:positionH relativeFrom="column">
                <wp:posOffset>1544320</wp:posOffset>
              </wp:positionH>
              <wp:positionV relativeFrom="paragraph">
                <wp:posOffset>346075</wp:posOffset>
              </wp:positionV>
              <wp:extent cx="1724025" cy="256540"/>
              <wp:effectExtent l="0" t="0" r="9525" b="10160"/>
              <wp:wrapNone/>
              <wp:docPr id="6" name="文本框 6"/>
              <wp:cNvGraphicFramePr/>
              <a:graphic xmlns:a="http://schemas.openxmlformats.org/drawingml/2006/main">
                <a:graphicData uri="http://schemas.microsoft.com/office/word/2010/wordprocessingShape">
                  <wps:wsp>
                    <wps:cNvSpPr txBox="1"/>
                    <wps:spPr>
                      <a:xfrm>
                        <a:off x="2109470" y="610870"/>
                        <a:ext cx="1724025" cy="2565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CDDBF6B">
                          <w:pPr>
                            <w:rPr>
                              <w:rFonts w:hint="eastAsia"/>
                            </w:rPr>
                          </w:pPr>
                          <w:r>
                            <w:t>政府企业优选合作伙伴</w:t>
                          </w:r>
                        </w:p>
                        <w:p w14:paraId="14B3A2A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6pt;margin-top:27.25pt;height:20.2pt;width:135.75pt;z-index:-251651072;mso-width-relative:page;mso-height-relative:page;" fillcolor="#FFFFFF [3201]" filled="t" stroked="f" coordsize="21600,21600" o:gfxdata="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9ezsXVAAAA&#10;CQEAAA8AAAAAAAAAAQAgAAAAIgAAAGRycy9kb3ducmV2LnhtbFBLAQIUABQAAAAIAIdO4kCJyc0I&#10;WQIAAJoEAAAOAAAAAAAAAAEAIAAAACQBAABkcnMvZTJvRG9jLnhtbFBLBQYAAAAABgAGAFkBAADv&#10;BQAAAAA=&#10;">
              <v:fill on="t" focussize="0,0"/>
              <v:stroke on="f" weight="0.5pt"/>
              <v:imagedata o:title=""/>
              <o:lock v:ext="edit" aspectratio="f"/>
              <v:textbox>
                <w:txbxContent>
                  <w:p w14:paraId="1CDDBF6B">
                    <w:pPr>
                      <w:rPr>
                        <w:rFonts w:hint="eastAsia"/>
                      </w:rPr>
                    </w:pPr>
                    <w:r>
                      <w:t>政府企业优选合作伙伴</w:t>
                    </w:r>
                  </w:p>
                  <w:p w14:paraId="14B3A2AA"/>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1540510</wp:posOffset>
              </wp:positionH>
              <wp:positionV relativeFrom="paragraph">
                <wp:posOffset>78105</wp:posOffset>
              </wp:positionV>
              <wp:extent cx="1590675" cy="286385"/>
              <wp:effectExtent l="0" t="0" r="9525" b="18415"/>
              <wp:wrapNone/>
              <wp:docPr id="7" name="文本框 7"/>
              <wp:cNvGraphicFramePr/>
              <a:graphic xmlns:a="http://schemas.openxmlformats.org/drawingml/2006/main">
                <a:graphicData uri="http://schemas.microsoft.com/office/word/2010/wordprocessingShape">
                  <wps:wsp>
                    <wps:cNvSpPr txBox="1"/>
                    <wps:spPr>
                      <a:xfrm>
                        <a:off x="2176145" y="2963545"/>
                        <a:ext cx="1590675" cy="2863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328709B">
                          <w:pPr>
                            <w:rPr>
                              <w:rFonts w:hint="default" w:asciiTheme="minorHAnsi" w:hAnsiTheme="minorHAnsi" w:eastAsiaTheme="minorEastAsia" w:cstheme="minorBidi"/>
                              <w:b/>
                              <w:bCs/>
                              <w:kern w:val="0"/>
                              <w:sz w:val="24"/>
                              <w:szCs w:val="24"/>
                              <w:lang w:val="en-US" w:eastAsia="zh-CN" w:bidi="ar"/>
                            </w:rPr>
                          </w:pPr>
                          <w:r>
                            <w:rPr>
                              <w:rFonts w:hint="eastAsia" w:asciiTheme="minorHAnsi" w:hAnsiTheme="minorHAnsi" w:eastAsiaTheme="minorEastAsia" w:cstheme="minorBidi"/>
                              <w:b/>
                              <w:bCs/>
                              <w:kern w:val="0"/>
                              <w:sz w:val="24"/>
                              <w:szCs w:val="24"/>
                              <w:lang w:val="en-US" w:eastAsia="zh-CN" w:bidi="ar"/>
                            </w:rPr>
                            <w:t>受人之托 忠人之事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3pt;margin-top:6.15pt;height:22.55pt;width:125.25pt;z-index:251666432;mso-width-relative:page;mso-height-relative:page;" fillcolor="#FFFFFF [3201]" filled="t" stroked="f" coordsize="21600,21600" o:gfxdata="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q7L23UAAAA&#10;CQEAAA8AAAAAAAAAAQAgAAAAIgAAAGRycy9kb3ducmV2LnhtbFBLAQIUABQAAAAIAIdO4kAuOC/u&#10;WgIAAJsEAAAOAAAAAAAAAAEAIAAAACMBAABkcnMvZTJvRG9jLnhtbFBLBQYAAAAABgAGAFkBAADv&#10;BQAAAAA=&#10;">
              <v:fill on="t" focussize="0,0"/>
              <v:stroke on="f" weight="0.5pt"/>
              <v:imagedata o:title=""/>
              <o:lock v:ext="edit" aspectratio="f"/>
              <v:textbox>
                <w:txbxContent>
                  <w:p w14:paraId="3328709B">
                    <w:pPr>
                      <w:rPr>
                        <w:rFonts w:hint="default" w:asciiTheme="minorHAnsi" w:hAnsiTheme="minorHAnsi" w:eastAsiaTheme="minorEastAsia" w:cstheme="minorBidi"/>
                        <w:b/>
                        <w:bCs/>
                        <w:kern w:val="0"/>
                        <w:sz w:val="24"/>
                        <w:szCs w:val="24"/>
                        <w:lang w:val="en-US" w:eastAsia="zh-CN" w:bidi="ar"/>
                      </w:rPr>
                    </w:pPr>
                    <w:r>
                      <w:rPr>
                        <w:rFonts w:hint="eastAsia" w:asciiTheme="minorHAnsi" w:hAnsiTheme="minorHAnsi" w:eastAsiaTheme="minorEastAsia" w:cstheme="minorBidi"/>
                        <w:b/>
                        <w:bCs/>
                        <w:kern w:val="0"/>
                        <w:sz w:val="24"/>
                        <w:szCs w:val="24"/>
                        <w:lang w:val="en-US" w:eastAsia="zh-CN" w:bidi="ar"/>
                      </w:rPr>
                      <w:t>受人之托 忠人之事</w:t>
                    </w:r>
                  </w:p>
                </w:txbxContent>
              </v:textbox>
            </v:shape>
          </w:pict>
        </mc:Fallback>
      </mc:AlternateContent>
    </w:r>
    <w:r>
      <w:rPr>
        <w:rFonts w:hint="eastAsia" w:ascii="微软雅黑" w:hAnsi="微软雅黑" w:eastAsia="微软雅黑" w:cs="微软雅黑"/>
        <w:b/>
        <w:kern w:val="0"/>
        <w:sz w:val="32"/>
        <w:szCs w:val="13"/>
        <w:lang w:val="en-US" w:eastAsia="zh-CN"/>
      </w:rPr>
      <w:drawing>
        <wp:anchor distT="0" distB="0" distL="114300" distR="114300" simplePos="0" relativeHeight="251664384" behindDoc="1" locked="0" layoutInCell="1" allowOverlap="1">
          <wp:simplePos x="0" y="0"/>
          <wp:positionH relativeFrom="column">
            <wp:posOffset>-10160</wp:posOffset>
          </wp:positionH>
          <wp:positionV relativeFrom="paragraph">
            <wp:posOffset>29845</wp:posOffset>
          </wp:positionV>
          <wp:extent cx="1424305" cy="582295"/>
          <wp:effectExtent l="0" t="0" r="4445" b="8255"/>
          <wp:wrapNone/>
          <wp:docPr id="8" name="图片 30" descr="F:/公司LOGO/国德标志/水印/国德左右.pn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0" descr="F:/公司LOGO/国德标志/水印/国德左右.png国德左右"/>
                  <pic:cNvPicPr>
                    <a:picLocks noChangeAspect="1"/>
                  </pic:cNvPicPr>
                </pic:nvPicPr>
                <pic:blipFill>
                  <a:blip r:embed="rId1"/>
                  <a:srcRect l="2126" r="2126"/>
                  <a:stretch>
                    <a:fillRect/>
                  </a:stretch>
                </pic:blipFill>
                <pic:spPr>
                  <a:xfrm>
                    <a:off x="0" y="0"/>
                    <a:ext cx="1424305" cy="582295"/>
                  </a:xfrm>
                  <a:prstGeom prst="rect">
                    <a:avLst/>
                  </a:prstGeom>
                  <a:noFill/>
                  <a:ln>
                    <a:noFill/>
                  </a:ln>
                </pic:spPr>
              </pic:pic>
            </a:graphicData>
          </a:graphic>
        </wp:anchor>
      </w:drawing>
    </w:r>
    <w:r>
      <w:rPr>
        <w:rFonts w:hint="eastAsia"/>
        <w:lang w:val="en-US" w:eastAsia="zh-CN"/>
      </w:rPr>
      <w:t xml:space="preserve"> </w:t>
    </w:r>
    <w:r>
      <w:rPr>
        <w:rFonts w:hint="eastAsia" w:ascii="微软雅黑" w:hAnsi="微软雅黑" w:eastAsia="微软雅黑" w:cs="微软雅黑"/>
        <w:b/>
        <w:kern w:val="0"/>
        <w:sz w:val="32"/>
        <w:szCs w:val="13"/>
        <w:lang w:val="en-US" w:eastAsia="zh-CN"/>
      </w:rPr>
      <w:t>青海国德招标代理有限公司</w:t>
    </w:r>
  </w:p>
  <w:p w14:paraId="08093AB4">
    <w:pPr>
      <w:pBdr>
        <w:bottom w:val="none" w:color="auto" w:sz="0" w:space="0"/>
      </w:pBdr>
      <w:rPr>
        <w:rFonts w:hint="eastAsia"/>
      </w:rPr>
    </w:pPr>
  </w:p>
  <w:p w14:paraId="3615F81E">
    <w:pPr>
      <w:pBdr>
        <w:bottom w:val="single" w:color="auto" w:sz="4"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D8779">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F31C9">
    <w:pPr>
      <w:pStyle w:val="22"/>
      <w:pBdr>
        <w:bottom w:val="none" w:color="auto" w:sz="0" w:space="1"/>
      </w:pBdr>
      <w:jc w:val="both"/>
    </w:pPr>
    <w:r>
      <w:rPr>
        <w:rFonts w:hint="eastAsia"/>
      </w:rPr>
      <w:drawing>
        <wp:anchor distT="0" distB="0" distL="114300" distR="114300" simplePos="0" relativeHeight="251659264" behindDoc="0" locked="0" layoutInCell="1" allowOverlap="1">
          <wp:simplePos x="0" y="0"/>
          <wp:positionH relativeFrom="column">
            <wp:posOffset>-271145</wp:posOffset>
          </wp:positionH>
          <wp:positionV relativeFrom="paragraph">
            <wp:posOffset>-66675</wp:posOffset>
          </wp:positionV>
          <wp:extent cx="2002155" cy="744855"/>
          <wp:effectExtent l="19050" t="0" r="0" b="0"/>
          <wp:wrapNone/>
          <wp:docPr id="1" name="图片 1" descr="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德左右"/>
                  <pic:cNvPicPr>
                    <a:picLocks noChangeAspect="1" noChangeArrowheads="1"/>
                  </pic:cNvPicPr>
                </pic:nvPicPr>
                <pic:blipFill>
                  <a:blip r:embed="rId1"/>
                  <a:srcRect/>
                  <a:stretch>
                    <a:fillRect/>
                  </a:stretch>
                </pic:blipFill>
                <pic:spPr>
                  <a:xfrm>
                    <a:off x="0" y="0"/>
                    <a:ext cx="2002155" cy="744855"/>
                  </a:xfrm>
                  <a:prstGeom prst="rect">
                    <a:avLst/>
                  </a:prstGeom>
                  <a:noFill/>
                  <a:ln w="9525" cmpd="sng">
                    <a:noFill/>
                    <a:miter lim="800000"/>
                    <a:headEnd/>
                    <a:tailEnd/>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A70FF">
    <w:pPr>
      <w:pBdr>
        <w:bottom w:val="none" w:color="auto" w:sz="0" w:space="0"/>
      </w:pBdr>
      <w:ind w:firstLine="2880" w:firstLineChars="900"/>
      <w:jc w:val="center"/>
      <w:rPr>
        <w:rFonts w:hint="eastAsia" w:ascii="微软雅黑" w:hAnsi="微软雅黑" w:eastAsia="微软雅黑" w:cs="微软雅黑"/>
        <w:b/>
        <w:kern w:val="0"/>
        <w:sz w:val="36"/>
        <w:szCs w:val="15"/>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3298190</wp:posOffset>
              </wp:positionH>
              <wp:positionV relativeFrom="paragraph">
                <wp:posOffset>289560</wp:posOffset>
              </wp:positionV>
              <wp:extent cx="2736850" cy="276860"/>
              <wp:effectExtent l="0" t="0" r="0" b="0"/>
              <wp:wrapNone/>
              <wp:docPr id="4" name="文本框 3"/>
              <wp:cNvGraphicFramePr/>
              <a:graphic xmlns:a="http://schemas.openxmlformats.org/drawingml/2006/main">
                <a:graphicData uri="http://schemas.microsoft.com/office/word/2010/wordprocessingShape">
                  <wps:wsp>
                    <wps:cNvSpPr txBox="1"/>
                    <wps:spPr>
                      <a:xfrm>
                        <a:off x="0" y="0"/>
                        <a:ext cx="2736850" cy="276860"/>
                      </a:xfrm>
                      <a:prstGeom prst="rect">
                        <a:avLst/>
                      </a:prstGeom>
                      <a:noFill/>
                      <a:ln w="15875">
                        <a:noFill/>
                      </a:ln>
                    </wps:spPr>
                    <wps:txbx>
                      <w:txbxContent>
                        <w:p w14:paraId="19C65CB8">
                          <w:pPr>
                            <w:jc w:val="distribute"/>
                          </w:pPr>
                          <w:r>
                            <w:rPr>
                              <w:rFonts w:hint="eastAsia" w:ascii="微软雅黑" w:hAnsi="微软雅黑" w:eastAsia="微软雅黑" w:cs="微软雅黑"/>
                              <w:b w:val="0"/>
                              <w:bCs/>
                              <w:kern w:val="0"/>
                              <w:sz w:val="18"/>
                              <w:szCs w:val="11"/>
                              <w:lang w:val="en-US" w:eastAsia="zh-CN"/>
                            </w:rPr>
                            <w:t>Qinghai Guode Tendering Agency Co., Ltd</w:t>
                          </w:r>
                        </w:p>
                      </w:txbxContent>
                    </wps:txbx>
                    <wps:bodyPr vert="horz" wrap="square" anchor="t" upright="1"/>
                  </wps:wsp>
                </a:graphicData>
              </a:graphic>
            </wp:anchor>
          </w:drawing>
        </mc:Choice>
        <mc:Fallback>
          <w:pict>
            <v:shape id="文本框 3" o:spid="_x0000_s1026" o:spt="202" type="#_x0000_t202" style="position:absolute;left:0pt;margin-left:259.7pt;margin-top:22.8pt;height:21.8pt;width:215.5pt;z-index:251661312;mso-width-relative:page;mso-height-relative:page;" filled="f" stroked="f" coordsize="21600,21600" o:gfxdata="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hvWiQ3AAAAAkBAAAPAAAAAAAAAAEAIAAA&#10;ACIAAABkcnMvZG93bnJldi54bWxQSwECFAAUAAAACACHTuJAKRNevs8BAAB9AwAADgAAAAAAAAAB&#10;ACAAAAArAQAAZHJzL2Uyb0RvYy54bWxQSwUGAAAAAAYABgBZAQAAbAUAAAAA&#10;">
              <v:fill on="f" focussize="0,0"/>
              <v:stroke on="f" weight="1.25pt"/>
              <v:imagedata o:title=""/>
              <o:lock v:ext="edit" aspectratio="f"/>
              <v:textbox>
                <w:txbxContent>
                  <w:p w14:paraId="19C65CB8">
                    <w:pPr>
                      <w:jc w:val="distribute"/>
                    </w:pPr>
                    <w:r>
                      <w:rPr>
                        <w:rFonts w:hint="eastAsia" w:ascii="微软雅黑" w:hAnsi="微软雅黑" w:eastAsia="微软雅黑" w:cs="微软雅黑"/>
                        <w:b w:val="0"/>
                        <w:bCs/>
                        <w:kern w:val="0"/>
                        <w:sz w:val="18"/>
                        <w:szCs w:val="11"/>
                        <w:lang w:val="en-US" w:eastAsia="zh-CN"/>
                      </w:rPr>
                      <w:t>Qinghai Guode Tendering Agency Co., Ltd</w:t>
                    </w:r>
                  </w:p>
                </w:txbxContent>
              </v:textbox>
            </v:shape>
          </w:pict>
        </mc:Fallback>
      </mc:AlternateContent>
    </w:r>
    <w:r>
      <w:rPr>
        <w:sz w:val="32"/>
      </w:rPr>
      <mc:AlternateContent>
        <mc:Choice Requires="wps">
          <w:drawing>
            <wp:anchor distT="0" distB="0" distL="114300" distR="114300" simplePos="0" relativeHeight="251662336" behindDoc="1" locked="0" layoutInCell="1" allowOverlap="1">
              <wp:simplePos x="0" y="0"/>
              <wp:positionH relativeFrom="column">
                <wp:posOffset>1544320</wp:posOffset>
              </wp:positionH>
              <wp:positionV relativeFrom="paragraph">
                <wp:posOffset>346075</wp:posOffset>
              </wp:positionV>
              <wp:extent cx="1724025" cy="256540"/>
              <wp:effectExtent l="0" t="0" r="9525" b="10160"/>
              <wp:wrapNone/>
              <wp:docPr id="23" name="文本框 23"/>
              <wp:cNvGraphicFramePr/>
              <a:graphic xmlns:a="http://schemas.openxmlformats.org/drawingml/2006/main">
                <a:graphicData uri="http://schemas.microsoft.com/office/word/2010/wordprocessingShape">
                  <wps:wsp>
                    <wps:cNvSpPr txBox="1"/>
                    <wps:spPr>
                      <a:xfrm>
                        <a:off x="2109470" y="610870"/>
                        <a:ext cx="1724025" cy="2565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F096E58">
                          <w:pPr>
                            <w:rPr>
                              <w:rFonts w:hint="eastAsia"/>
                            </w:rPr>
                          </w:pPr>
                          <w:r>
                            <w:t>政府企业优选合作伙伴</w:t>
                          </w:r>
                        </w:p>
                        <w:p w14:paraId="520E9F4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6pt;margin-top:27.25pt;height:20.2pt;width:135.75pt;z-index:-251654144;mso-width-relative:page;mso-height-relative:page;" fillcolor="#FFFFFF [3201]" filled="t" stroked="f" coordsize="21600,21600" o:gfxdata="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9ezsXV&#10;AAAACQEAAA8AAAAAAAAAAQAgAAAAIgAAAGRycy9kb3ducmV2LnhtbFBLAQIUABQAAAAIAIdO4kAl&#10;SYDkXAIAAJwEAAAOAAAAAAAAAAEAIAAAACQBAABkcnMvZTJvRG9jLnhtbFBLBQYAAAAABgAGAFkB&#10;AADyBQAAAAA=&#10;">
              <v:fill on="t" focussize="0,0"/>
              <v:stroke on="f" weight="0.5pt"/>
              <v:imagedata o:title=""/>
              <o:lock v:ext="edit" aspectratio="f"/>
              <v:textbox>
                <w:txbxContent>
                  <w:p w14:paraId="1F096E58">
                    <w:pPr>
                      <w:rPr>
                        <w:rFonts w:hint="eastAsia"/>
                      </w:rPr>
                    </w:pPr>
                    <w:r>
                      <w:t>政府企业优选合作伙伴</w:t>
                    </w:r>
                  </w:p>
                  <w:p w14:paraId="520E9F4B"/>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1540510</wp:posOffset>
              </wp:positionH>
              <wp:positionV relativeFrom="paragraph">
                <wp:posOffset>78105</wp:posOffset>
              </wp:positionV>
              <wp:extent cx="1590675" cy="286385"/>
              <wp:effectExtent l="0" t="0" r="9525" b="18415"/>
              <wp:wrapNone/>
              <wp:docPr id="24" name="文本框 24"/>
              <wp:cNvGraphicFramePr/>
              <a:graphic xmlns:a="http://schemas.openxmlformats.org/drawingml/2006/main">
                <a:graphicData uri="http://schemas.microsoft.com/office/word/2010/wordprocessingShape">
                  <wps:wsp>
                    <wps:cNvSpPr txBox="1"/>
                    <wps:spPr>
                      <a:xfrm>
                        <a:off x="2176145" y="2963545"/>
                        <a:ext cx="1590675" cy="2863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60E4A0B">
                          <w:pPr>
                            <w:rPr>
                              <w:rFonts w:hint="default" w:asciiTheme="minorHAnsi" w:hAnsiTheme="minorHAnsi" w:eastAsiaTheme="minorEastAsia" w:cstheme="minorBidi"/>
                              <w:b/>
                              <w:bCs/>
                              <w:kern w:val="0"/>
                              <w:sz w:val="24"/>
                              <w:szCs w:val="24"/>
                              <w:lang w:val="en-US" w:eastAsia="zh-CN" w:bidi="ar"/>
                            </w:rPr>
                          </w:pPr>
                          <w:r>
                            <w:rPr>
                              <w:rFonts w:hint="eastAsia" w:asciiTheme="minorHAnsi" w:hAnsiTheme="minorHAnsi" w:eastAsiaTheme="minorEastAsia" w:cstheme="minorBidi"/>
                              <w:b/>
                              <w:bCs/>
                              <w:kern w:val="0"/>
                              <w:sz w:val="24"/>
                              <w:szCs w:val="24"/>
                              <w:lang w:val="en-US" w:eastAsia="zh-CN" w:bidi="ar"/>
                            </w:rPr>
                            <w:t>受人之托 忠人之事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3pt;margin-top:6.15pt;height:22.55pt;width:125.25pt;z-index:251663360;mso-width-relative:page;mso-height-relative:page;" fillcolor="#FFFFFF [3201]" filled="t" stroked="f" coordsize="21600,21600" o:gfxdata="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Kuy9t1AAA&#10;AAkBAAAPAAAAAAAAAAEAIAAAACIAAABkcnMvZG93bnJldi54bWxQSwECFAAUAAAACACHTuJAFy0F&#10;gVsCAACdBAAADgAAAAAAAAABACAAAAAjAQAAZHJzL2Uyb0RvYy54bWxQSwUGAAAAAAYABgBZAQAA&#10;8AUAAAAA&#10;">
              <v:fill on="t" focussize="0,0"/>
              <v:stroke on="f" weight="0.5pt"/>
              <v:imagedata o:title=""/>
              <o:lock v:ext="edit" aspectratio="f"/>
              <v:textbox>
                <w:txbxContent>
                  <w:p w14:paraId="760E4A0B">
                    <w:pPr>
                      <w:rPr>
                        <w:rFonts w:hint="default" w:asciiTheme="minorHAnsi" w:hAnsiTheme="minorHAnsi" w:eastAsiaTheme="minorEastAsia" w:cstheme="minorBidi"/>
                        <w:b/>
                        <w:bCs/>
                        <w:kern w:val="0"/>
                        <w:sz w:val="24"/>
                        <w:szCs w:val="24"/>
                        <w:lang w:val="en-US" w:eastAsia="zh-CN" w:bidi="ar"/>
                      </w:rPr>
                    </w:pPr>
                    <w:r>
                      <w:rPr>
                        <w:rFonts w:hint="eastAsia" w:asciiTheme="minorHAnsi" w:hAnsiTheme="minorHAnsi" w:eastAsiaTheme="minorEastAsia" w:cstheme="minorBidi"/>
                        <w:b/>
                        <w:bCs/>
                        <w:kern w:val="0"/>
                        <w:sz w:val="24"/>
                        <w:szCs w:val="24"/>
                        <w:lang w:val="en-US" w:eastAsia="zh-CN" w:bidi="ar"/>
                      </w:rPr>
                      <w:t>受人之托 忠人之事</w:t>
                    </w:r>
                  </w:p>
                </w:txbxContent>
              </v:textbox>
            </v:shape>
          </w:pict>
        </mc:Fallback>
      </mc:AlternateContent>
    </w:r>
    <w:r>
      <w:rPr>
        <w:rFonts w:hint="eastAsia" w:ascii="微软雅黑" w:hAnsi="微软雅黑" w:eastAsia="微软雅黑" w:cs="微软雅黑"/>
        <w:b/>
        <w:kern w:val="0"/>
        <w:sz w:val="32"/>
        <w:szCs w:val="13"/>
        <w:lang w:val="en-US" w:eastAsia="zh-CN"/>
      </w:rPr>
      <w:drawing>
        <wp:anchor distT="0" distB="0" distL="114300" distR="114300" simplePos="0" relativeHeight="251660288" behindDoc="1" locked="0" layoutInCell="1" allowOverlap="1">
          <wp:simplePos x="0" y="0"/>
          <wp:positionH relativeFrom="column">
            <wp:posOffset>-10160</wp:posOffset>
          </wp:positionH>
          <wp:positionV relativeFrom="paragraph">
            <wp:posOffset>29845</wp:posOffset>
          </wp:positionV>
          <wp:extent cx="1424305" cy="582295"/>
          <wp:effectExtent l="0" t="0" r="4445" b="8255"/>
          <wp:wrapNone/>
          <wp:docPr id="3" name="图片 30" descr="F:/公司LOGO/国德标志/水印/国德左右.pn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0" descr="F:/公司LOGO/国德标志/水印/国德左右.png国德左右"/>
                  <pic:cNvPicPr>
                    <a:picLocks noChangeAspect="1"/>
                  </pic:cNvPicPr>
                </pic:nvPicPr>
                <pic:blipFill>
                  <a:blip r:embed="rId1"/>
                  <a:srcRect l="2126" r="2126"/>
                  <a:stretch>
                    <a:fillRect/>
                  </a:stretch>
                </pic:blipFill>
                <pic:spPr>
                  <a:xfrm>
                    <a:off x="0" y="0"/>
                    <a:ext cx="1424305" cy="582295"/>
                  </a:xfrm>
                  <a:prstGeom prst="rect">
                    <a:avLst/>
                  </a:prstGeom>
                  <a:noFill/>
                  <a:ln>
                    <a:noFill/>
                  </a:ln>
                </pic:spPr>
              </pic:pic>
            </a:graphicData>
          </a:graphic>
        </wp:anchor>
      </w:drawing>
    </w:r>
    <w:r>
      <w:rPr>
        <w:rFonts w:hint="eastAsia" w:ascii="微软雅黑" w:hAnsi="微软雅黑" w:eastAsia="微软雅黑" w:cs="微软雅黑"/>
        <w:b/>
        <w:kern w:val="0"/>
        <w:sz w:val="32"/>
        <w:szCs w:val="13"/>
        <w:lang w:val="en-US" w:eastAsia="zh-CN"/>
      </w:rPr>
      <w:t xml:space="preserve">                青海国德招标代理有限公司</w:t>
    </w:r>
  </w:p>
  <w:p w14:paraId="258C3A9B">
    <w:pPr>
      <w:pBdr>
        <w:bottom w:val="none" w:color="auto" w:sz="0" w:space="0"/>
      </w:pBdr>
      <w:rPr>
        <w:rFonts w:hint="eastAsia"/>
      </w:rPr>
    </w:pPr>
  </w:p>
  <w:p w14:paraId="0DCF02DF">
    <w:pPr>
      <w:pBdr>
        <w:bottom w:val="single" w:color="auto" w:sz="4"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BC2EA3"/>
    <w:multiLevelType w:val="singleLevel"/>
    <w:tmpl w:val="AEBC2EA3"/>
    <w:lvl w:ilvl="0" w:tentative="0">
      <w:start w:val="1"/>
      <w:numFmt w:val="decimal"/>
      <w:suff w:val="nothing"/>
      <w:lvlText w:val="(%1)"/>
      <w:lvlJc w:val="left"/>
      <w:pPr>
        <w:ind w:left="454" w:hanging="454"/>
      </w:pPr>
      <w:rPr>
        <w:rFonts w:hint="default"/>
      </w:rPr>
    </w:lvl>
  </w:abstractNum>
  <w:abstractNum w:abstractNumId="1">
    <w:nsid w:val="D11E6B82"/>
    <w:multiLevelType w:val="singleLevel"/>
    <w:tmpl w:val="D11E6B82"/>
    <w:lvl w:ilvl="0" w:tentative="0">
      <w:start w:val="1"/>
      <w:numFmt w:val="decimal"/>
      <w:lvlText w:val="(%1)"/>
      <w:lvlJc w:val="left"/>
      <w:pPr>
        <w:ind w:left="425" w:hanging="425"/>
      </w:pPr>
      <w:rPr>
        <w:rFonts w:hint="default"/>
      </w:rPr>
    </w:lvl>
  </w:abstractNum>
  <w:abstractNum w:abstractNumId="2">
    <w:nsid w:val="E2902F5E"/>
    <w:multiLevelType w:val="singleLevel"/>
    <w:tmpl w:val="E2902F5E"/>
    <w:lvl w:ilvl="0" w:tentative="0">
      <w:start w:val="1"/>
      <w:numFmt w:val="decimal"/>
      <w:lvlText w:val="%1."/>
      <w:lvlJc w:val="left"/>
      <w:pPr>
        <w:tabs>
          <w:tab w:val="left" w:pos="312"/>
        </w:tabs>
      </w:pPr>
    </w:lvl>
  </w:abstractNum>
  <w:abstractNum w:abstractNumId="3">
    <w:nsid w:val="F95B1ECA"/>
    <w:multiLevelType w:val="singleLevel"/>
    <w:tmpl w:val="F95B1ECA"/>
    <w:lvl w:ilvl="0" w:tentative="0">
      <w:start w:val="1"/>
      <w:numFmt w:val="decimal"/>
      <w:lvlText w:val="%1."/>
      <w:lvlJc w:val="left"/>
      <w:pPr>
        <w:tabs>
          <w:tab w:val="left" w:pos="312"/>
        </w:tabs>
      </w:pPr>
    </w:lvl>
  </w:abstractNum>
  <w:abstractNum w:abstractNumId="4">
    <w:nsid w:val="00000012"/>
    <w:multiLevelType w:val="singleLevel"/>
    <w:tmpl w:val="00000012"/>
    <w:lvl w:ilvl="0" w:tentative="0">
      <w:start w:val="2"/>
      <w:numFmt w:val="decimal"/>
      <w:suff w:val="nothing"/>
      <w:lvlText w:val="%1."/>
      <w:lvlJc w:val="left"/>
    </w:lvl>
  </w:abstractNum>
  <w:abstractNum w:abstractNumId="5">
    <w:nsid w:val="021590D5"/>
    <w:multiLevelType w:val="singleLevel"/>
    <w:tmpl w:val="021590D5"/>
    <w:lvl w:ilvl="0" w:tentative="0">
      <w:start w:val="1"/>
      <w:numFmt w:val="decimal"/>
      <w:lvlText w:val="(%1)"/>
      <w:lvlJc w:val="left"/>
      <w:pPr>
        <w:ind w:left="425" w:hanging="425"/>
      </w:pPr>
      <w:rPr>
        <w:rFonts w:hint="default"/>
      </w:rPr>
    </w:lvl>
  </w:abstractNum>
  <w:abstractNum w:abstractNumId="6">
    <w:nsid w:val="3B12EC65"/>
    <w:multiLevelType w:val="singleLevel"/>
    <w:tmpl w:val="3B12EC65"/>
    <w:lvl w:ilvl="0" w:tentative="0">
      <w:start w:val="7"/>
      <w:numFmt w:val="chineseCounting"/>
      <w:suff w:val="nothing"/>
      <w:lvlText w:val="%1、"/>
      <w:lvlJc w:val="left"/>
      <w:rPr>
        <w:rFonts w:hint="eastAsia"/>
      </w:rPr>
    </w:lvl>
  </w:abstractNum>
  <w:abstractNum w:abstractNumId="7">
    <w:nsid w:val="3D9D8600"/>
    <w:multiLevelType w:val="singleLevel"/>
    <w:tmpl w:val="3D9D8600"/>
    <w:lvl w:ilvl="0" w:tentative="0">
      <w:start w:val="1"/>
      <w:numFmt w:val="decimal"/>
      <w:lvlText w:val="(%1)"/>
      <w:lvlJc w:val="left"/>
      <w:pPr>
        <w:ind w:left="425" w:hanging="425"/>
      </w:pPr>
      <w:rPr>
        <w:rFonts w:hint="default"/>
      </w:rPr>
    </w:lvl>
  </w:abstractNum>
  <w:abstractNum w:abstractNumId="8">
    <w:nsid w:val="40CF13D4"/>
    <w:multiLevelType w:val="multilevel"/>
    <w:tmpl w:val="40CF13D4"/>
    <w:lvl w:ilvl="0" w:tentative="0">
      <w:start w:val="1"/>
      <w:numFmt w:val="decimal"/>
      <w:pStyle w:val="2"/>
      <w:lvlText w:val="%1."/>
      <w:lvlJc w:val="left"/>
      <w:pPr>
        <w:tabs>
          <w:tab w:val="left" w:pos="425"/>
        </w:tabs>
        <w:ind w:left="425" w:hanging="425"/>
      </w:pPr>
      <w:rPr>
        <w:rFonts w:hint="eastAsia"/>
      </w:rPr>
    </w:lvl>
    <w:lvl w:ilvl="1" w:tentative="0">
      <w:start w:val="1"/>
      <w:numFmt w:val="decimal"/>
      <w:pStyle w:val="3"/>
      <w:lvlText w:val="%1.%2."/>
      <w:lvlJc w:val="left"/>
      <w:pPr>
        <w:tabs>
          <w:tab w:val="left" w:pos="720"/>
        </w:tabs>
        <w:ind w:left="567" w:hanging="567"/>
      </w:pPr>
      <w:rPr>
        <w:rFonts w:hint="eastAsia"/>
      </w:rPr>
    </w:lvl>
    <w:lvl w:ilvl="2" w:tentative="0">
      <w:start w:val="1"/>
      <w:numFmt w:val="chineseCountingThousand"/>
      <w:lvlText w:val="%3、"/>
      <w:lvlJc w:val="left"/>
      <w:pPr>
        <w:tabs>
          <w:tab w:val="left" w:pos="709"/>
        </w:tabs>
        <w:ind w:left="709" w:hanging="709"/>
      </w:pPr>
      <w:rPr>
        <w:rFonts w:hint="eastAsia"/>
        <w:b/>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447C74D0"/>
    <w:multiLevelType w:val="singleLevel"/>
    <w:tmpl w:val="447C74D0"/>
    <w:lvl w:ilvl="0" w:tentative="0">
      <w:start w:val="1"/>
      <w:numFmt w:val="chineseCounting"/>
      <w:suff w:val="nothing"/>
      <w:lvlText w:val="%1、"/>
      <w:lvlJc w:val="left"/>
      <w:pPr>
        <w:ind w:left="0" w:firstLine="420"/>
      </w:pPr>
      <w:rPr>
        <w:rFonts w:hint="eastAsia"/>
      </w:rPr>
    </w:lvl>
  </w:abstractNum>
  <w:abstractNum w:abstractNumId="10">
    <w:nsid w:val="599149B8"/>
    <w:multiLevelType w:val="multilevel"/>
    <w:tmpl w:val="599149B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6AB6C297"/>
    <w:multiLevelType w:val="singleLevel"/>
    <w:tmpl w:val="6AB6C297"/>
    <w:lvl w:ilvl="0" w:tentative="0">
      <w:start w:val="2"/>
      <w:numFmt w:val="chineseCounting"/>
      <w:suff w:val="nothing"/>
      <w:lvlText w:val="（%1）"/>
      <w:lvlJc w:val="left"/>
      <w:rPr>
        <w:rFonts w:hint="eastAsia"/>
      </w:rPr>
    </w:lvl>
  </w:abstractNum>
  <w:abstractNum w:abstractNumId="12">
    <w:nsid w:val="6B4D3466"/>
    <w:multiLevelType w:val="multilevel"/>
    <w:tmpl w:val="6B4D3466"/>
    <w:lvl w:ilvl="0" w:tentative="0">
      <w:start w:val="1"/>
      <w:numFmt w:val="japaneseCounting"/>
      <w:lvlText w:val="第%1条"/>
      <w:lvlJc w:val="left"/>
      <w:pPr>
        <w:tabs>
          <w:tab w:val="left" w:pos="2790"/>
        </w:tabs>
        <w:ind w:left="2790" w:hanging="1170"/>
      </w:pPr>
      <w:rPr>
        <w:rFonts w:hint="eastAsia" w:ascii="黑体" w:eastAsia="黑体" w:cs="Times New Roman"/>
      </w:rPr>
    </w:lvl>
    <w:lvl w:ilvl="1" w:tentative="0">
      <w:start w:val="1"/>
      <w:numFmt w:val="lowerLetter"/>
      <w:pStyle w:val="48"/>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8"/>
  </w:num>
  <w:num w:numId="2">
    <w:abstractNumId w:val="12"/>
  </w:num>
  <w:num w:numId="3">
    <w:abstractNumId w:val="6"/>
  </w:num>
  <w:num w:numId="4">
    <w:abstractNumId w:val="3"/>
  </w:num>
  <w:num w:numId="5">
    <w:abstractNumId w:val="2"/>
  </w:num>
  <w:num w:numId="6">
    <w:abstractNumId w:val="9"/>
  </w:num>
  <w:num w:numId="7">
    <w:abstractNumId w:val="5"/>
  </w:num>
  <w:num w:numId="8">
    <w:abstractNumId w:val="0"/>
  </w:num>
  <w:num w:numId="9">
    <w:abstractNumId w:val="10"/>
  </w:num>
  <w:num w:numId="10">
    <w:abstractNumId w:val="7"/>
  </w:num>
  <w:num w:numId="11">
    <w:abstractNumId w:val="1"/>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3NjAyNDI1YWQ0MGU5YjE5MGQ5ZmUyNmY2Njg1OWIifQ=="/>
  </w:docVars>
  <w:rsids>
    <w:rsidRoot w:val="00B64A69"/>
    <w:rsid w:val="00001EF1"/>
    <w:rsid w:val="00002B7E"/>
    <w:rsid w:val="0000361F"/>
    <w:rsid w:val="000038F3"/>
    <w:rsid w:val="000044F5"/>
    <w:rsid w:val="0000523C"/>
    <w:rsid w:val="000067C2"/>
    <w:rsid w:val="0000729F"/>
    <w:rsid w:val="00010612"/>
    <w:rsid w:val="0001102F"/>
    <w:rsid w:val="00011203"/>
    <w:rsid w:val="000116AC"/>
    <w:rsid w:val="00013567"/>
    <w:rsid w:val="00013E54"/>
    <w:rsid w:val="00014941"/>
    <w:rsid w:val="0001505A"/>
    <w:rsid w:val="00015785"/>
    <w:rsid w:val="0001758F"/>
    <w:rsid w:val="00020265"/>
    <w:rsid w:val="00020E6F"/>
    <w:rsid w:val="0002211A"/>
    <w:rsid w:val="0002411A"/>
    <w:rsid w:val="00025C53"/>
    <w:rsid w:val="00030F4D"/>
    <w:rsid w:val="00032242"/>
    <w:rsid w:val="00032E41"/>
    <w:rsid w:val="00032F62"/>
    <w:rsid w:val="00034E72"/>
    <w:rsid w:val="00035BEA"/>
    <w:rsid w:val="000371BF"/>
    <w:rsid w:val="00042149"/>
    <w:rsid w:val="000421FA"/>
    <w:rsid w:val="00044BF2"/>
    <w:rsid w:val="000457A3"/>
    <w:rsid w:val="00046097"/>
    <w:rsid w:val="000508B0"/>
    <w:rsid w:val="00050978"/>
    <w:rsid w:val="00051006"/>
    <w:rsid w:val="0005143F"/>
    <w:rsid w:val="00051784"/>
    <w:rsid w:val="00053C01"/>
    <w:rsid w:val="00053D3B"/>
    <w:rsid w:val="00053F9B"/>
    <w:rsid w:val="0005473E"/>
    <w:rsid w:val="00054FB1"/>
    <w:rsid w:val="000558CC"/>
    <w:rsid w:val="0005591A"/>
    <w:rsid w:val="00057A48"/>
    <w:rsid w:val="00060656"/>
    <w:rsid w:val="0006359A"/>
    <w:rsid w:val="00070EEB"/>
    <w:rsid w:val="000715AF"/>
    <w:rsid w:val="00071E6B"/>
    <w:rsid w:val="0007234D"/>
    <w:rsid w:val="0007507D"/>
    <w:rsid w:val="0007617E"/>
    <w:rsid w:val="000806B7"/>
    <w:rsid w:val="00081E42"/>
    <w:rsid w:val="000824DB"/>
    <w:rsid w:val="00083F97"/>
    <w:rsid w:val="00087281"/>
    <w:rsid w:val="0008730B"/>
    <w:rsid w:val="00087777"/>
    <w:rsid w:val="00090054"/>
    <w:rsid w:val="00090DB3"/>
    <w:rsid w:val="00090E3E"/>
    <w:rsid w:val="00091938"/>
    <w:rsid w:val="00091998"/>
    <w:rsid w:val="0009236A"/>
    <w:rsid w:val="00093693"/>
    <w:rsid w:val="00095A45"/>
    <w:rsid w:val="00097060"/>
    <w:rsid w:val="000A191F"/>
    <w:rsid w:val="000A4266"/>
    <w:rsid w:val="000A465E"/>
    <w:rsid w:val="000A4A29"/>
    <w:rsid w:val="000A592F"/>
    <w:rsid w:val="000A5E33"/>
    <w:rsid w:val="000A7AA9"/>
    <w:rsid w:val="000B0C19"/>
    <w:rsid w:val="000B16A6"/>
    <w:rsid w:val="000B382F"/>
    <w:rsid w:val="000B4D71"/>
    <w:rsid w:val="000B4E1E"/>
    <w:rsid w:val="000B6C3B"/>
    <w:rsid w:val="000B7EDD"/>
    <w:rsid w:val="000C0253"/>
    <w:rsid w:val="000C0323"/>
    <w:rsid w:val="000C43F0"/>
    <w:rsid w:val="000C5BC6"/>
    <w:rsid w:val="000C6039"/>
    <w:rsid w:val="000C60A4"/>
    <w:rsid w:val="000C68FF"/>
    <w:rsid w:val="000C700D"/>
    <w:rsid w:val="000D20F5"/>
    <w:rsid w:val="000D394F"/>
    <w:rsid w:val="000D7CD3"/>
    <w:rsid w:val="000E02A7"/>
    <w:rsid w:val="000E0E00"/>
    <w:rsid w:val="000E18DD"/>
    <w:rsid w:val="000E3B09"/>
    <w:rsid w:val="000E3D42"/>
    <w:rsid w:val="000E409B"/>
    <w:rsid w:val="000E59DC"/>
    <w:rsid w:val="000E6312"/>
    <w:rsid w:val="000E791D"/>
    <w:rsid w:val="000F03C2"/>
    <w:rsid w:val="000F13C9"/>
    <w:rsid w:val="000F276F"/>
    <w:rsid w:val="000F552A"/>
    <w:rsid w:val="000F5DFE"/>
    <w:rsid w:val="000F6540"/>
    <w:rsid w:val="000F6B20"/>
    <w:rsid w:val="001003FB"/>
    <w:rsid w:val="00100981"/>
    <w:rsid w:val="00100BAD"/>
    <w:rsid w:val="00100C59"/>
    <w:rsid w:val="00101C28"/>
    <w:rsid w:val="00102DB1"/>
    <w:rsid w:val="00103A39"/>
    <w:rsid w:val="00104CCA"/>
    <w:rsid w:val="00105267"/>
    <w:rsid w:val="001062E4"/>
    <w:rsid w:val="001100C2"/>
    <w:rsid w:val="00110842"/>
    <w:rsid w:val="00110AF9"/>
    <w:rsid w:val="00110BE5"/>
    <w:rsid w:val="001128BE"/>
    <w:rsid w:val="00114C0A"/>
    <w:rsid w:val="00117E99"/>
    <w:rsid w:val="00120EB7"/>
    <w:rsid w:val="00121135"/>
    <w:rsid w:val="00122133"/>
    <w:rsid w:val="00123F0F"/>
    <w:rsid w:val="00124055"/>
    <w:rsid w:val="00125A2E"/>
    <w:rsid w:val="0012666C"/>
    <w:rsid w:val="00130A6F"/>
    <w:rsid w:val="00132418"/>
    <w:rsid w:val="00132890"/>
    <w:rsid w:val="00133249"/>
    <w:rsid w:val="00133863"/>
    <w:rsid w:val="00134A4A"/>
    <w:rsid w:val="0013508A"/>
    <w:rsid w:val="0013606C"/>
    <w:rsid w:val="00136455"/>
    <w:rsid w:val="00136BF2"/>
    <w:rsid w:val="00137099"/>
    <w:rsid w:val="00141320"/>
    <w:rsid w:val="0014227A"/>
    <w:rsid w:val="0014346E"/>
    <w:rsid w:val="00143A3A"/>
    <w:rsid w:val="0014680B"/>
    <w:rsid w:val="001469E6"/>
    <w:rsid w:val="00153051"/>
    <w:rsid w:val="00153C36"/>
    <w:rsid w:val="00155B82"/>
    <w:rsid w:val="00155F3A"/>
    <w:rsid w:val="00156D49"/>
    <w:rsid w:val="00157504"/>
    <w:rsid w:val="00161293"/>
    <w:rsid w:val="00161442"/>
    <w:rsid w:val="00163082"/>
    <w:rsid w:val="00163370"/>
    <w:rsid w:val="001659BA"/>
    <w:rsid w:val="00165B2D"/>
    <w:rsid w:val="00166838"/>
    <w:rsid w:val="00167559"/>
    <w:rsid w:val="00170482"/>
    <w:rsid w:val="0017094E"/>
    <w:rsid w:val="001738EF"/>
    <w:rsid w:val="00173E65"/>
    <w:rsid w:val="00174940"/>
    <w:rsid w:val="00174F7A"/>
    <w:rsid w:val="00176770"/>
    <w:rsid w:val="00177CBE"/>
    <w:rsid w:val="00177DAA"/>
    <w:rsid w:val="001801DD"/>
    <w:rsid w:val="00180A83"/>
    <w:rsid w:val="00181301"/>
    <w:rsid w:val="00181C1E"/>
    <w:rsid w:val="00184ADA"/>
    <w:rsid w:val="0018545C"/>
    <w:rsid w:val="00186E47"/>
    <w:rsid w:val="00191300"/>
    <w:rsid w:val="00192212"/>
    <w:rsid w:val="001931A0"/>
    <w:rsid w:val="001957DC"/>
    <w:rsid w:val="00197188"/>
    <w:rsid w:val="00197375"/>
    <w:rsid w:val="00197EA9"/>
    <w:rsid w:val="00197FA0"/>
    <w:rsid w:val="001A080C"/>
    <w:rsid w:val="001A1D00"/>
    <w:rsid w:val="001A210F"/>
    <w:rsid w:val="001A2BC4"/>
    <w:rsid w:val="001A53BD"/>
    <w:rsid w:val="001A5DF5"/>
    <w:rsid w:val="001A64E9"/>
    <w:rsid w:val="001B0E21"/>
    <w:rsid w:val="001B254F"/>
    <w:rsid w:val="001B258F"/>
    <w:rsid w:val="001B318F"/>
    <w:rsid w:val="001B3A0B"/>
    <w:rsid w:val="001B4AE7"/>
    <w:rsid w:val="001B4C63"/>
    <w:rsid w:val="001B5736"/>
    <w:rsid w:val="001B5EA7"/>
    <w:rsid w:val="001B6AEF"/>
    <w:rsid w:val="001B7402"/>
    <w:rsid w:val="001C0B43"/>
    <w:rsid w:val="001C1E19"/>
    <w:rsid w:val="001C279C"/>
    <w:rsid w:val="001C3362"/>
    <w:rsid w:val="001C4AFB"/>
    <w:rsid w:val="001C5860"/>
    <w:rsid w:val="001C5D53"/>
    <w:rsid w:val="001C6086"/>
    <w:rsid w:val="001C739F"/>
    <w:rsid w:val="001D0BB0"/>
    <w:rsid w:val="001D0DBE"/>
    <w:rsid w:val="001D7DCB"/>
    <w:rsid w:val="001D7E69"/>
    <w:rsid w:val="001E08C0"/>
    <w:rsid w:val="001E1C73"/>
    <w:rsid w:val="001E20EA"/>
    <w:rsid w:val="001E324D"/>
    <w:rsid w:val="001E78D7"/>
    <w:rsid w:val="001F2B77"/>
    <w:rsid w:val="001F3783"/>
    <w:rsid w:val="001F37EE"/>
    <w:rsid w:val="001F6A1D"/>
    <w:rsid w:val="001F6CA1"/>
    <w:rsid w:val="002002AB"/>
    <w:rsid w:val="00200825"/>
    <w:rsid w:val="002017B2"/>
    <w:rsid w:val="00201C83"/>
    <w:rsid w:val="00203FCE"/>
    <w:rsid w:val="0020503B"/>
    <w:rsid w:val="00210596"/>
    <w:rsid w:val="00212C8E"/>
    <w:rsid w:val="002136BF"/>
    <w:rsid w:val="0022085B"/>
    <w:rsid w:val="00220D11"/>
    <w:rsid w:val="00221B90"/>
    <w:rsid w:val="00221DA9"/>
    <w:rsid w:val="00223D00"/>
    <w:rsid w:val="00224136"/>
    <w:rsid w:val="002249FE"/>
    <w:rsid w:val="00226660"/>
    <w:rsid w:val="00226D58"/>
    <w:rsid w:val="002277BF"/>
    <w:rsid w:val="00230498"/>
    <w:rsid w:val="002337F0"/>
    <w:rsid w:val="00233D2E"/>
    <w:rsid w:val="0023404A"/>
    <w:rsid w:val="00234494"/>
    <w:rsid w:val="0023487E"/>
    <w:rsid w:val="00234AC0"/>
    <w:rsid w:val="00235CAF"/>
    <w:rsid w:val="002371BC"/>
    <w:rsid w:val="002373C7"/>
    <w:rsid w:val="00237614"/>
    <w:rsid w:val="00240485"/>
    <w:rsid w:val="002411CA"/>
    <w:rsid w:val="00245DEE"/>
    <w:rsid w:val="00250802"/>
    <w:rsid w:val="00250E43"/>
    <w:rsid w:val="002519A9"/>
    <w:rsid w:val="0025211E"/>
    <w:rsid w:val="00252502"/>
    <w:rsid w:val="002554DC"/>
    <w:rsid w:val="00260619"/>
    <w:rsid w:val="002626B4"/>
    <w:rsid w:val="002636F7"/>
    <w:rsid w:val="00263995"/>
    <w:rsid w:val="00263CBE"/>
    <w:rsid w:val="00263CC7"/>
    <w:rsid w:val="00264BB4"/>
    <w:rsid w:val="00264E70"/>
    <w:rsid w:val="0026520C"/>
    <w:rsid w:val="00265C78"/>
    <w:rsid w:val="00270319"/>
    <w:rsid w:val="00273870"/>
    <w:rsid w:val="002767CA"/>
    <w:rsid w:val="00276B47"/>
    <w:rsid w:val="00277051"/>
    <w:rsid w:val="002775F8"/>
    <w:rsid w:val="002812BE"/>
    <w:rsid w:val="002821EF"/>
    <w:rsid w:val="002823FB"/>
    <w:rsid w:val="00282A21"/>
    <w:rsid w:val="002833F3"/>
    <w:rsid w:val="002839E2"/>
    <w:rsid w:val="00283BB6"/>
    <w:rsid w:val="00283D92"/>
    <w:rsid w:val="00284776"/>
    <w:rsid w:val="00285653"/>
    <w:rsid w:val="0028581A"/>
    <w:rsid w:val="002863DA"/>
    <w:rsid w:val="00286468"/>
    <w:rsid w:val="00287744"/>
    <w:rsid w:val="00287FA6"/>
    <w:rsid w:val="00291296"/>
    <w:rsid w:val="00292528"/>
    <w:rsid w:val="0029392B"/>
    <w:rsid w:val="00293AFC"/>
    <w:rsid w:val="00294736"/>
    <w:rsid w:val="002948C0"/>
    <w:rsid w:val="00295931"/>
    <w:rsid w:val="00295CCE"/>
    <w:rsid w:val="002A0B5C"/>
    <w:rsid w:val="002A252B"/>
    <w:rsid w:val="002A28FA"/>
    <w:rsid w:val="002B0244"/>
    <w:rsid w:val="002B0774"/>
    <w:rsid w:val="002B0D5B"/>
    <w:rsid w:val="002B0EE8"/>
    <w:rsid w:val="002B3C13"/>
    <w:rsid w:val="002B40F9"/>
    <w:rsid w:val="002B4196"/>
    <w:rsid w:val="002B61BA"/>
    <w:rsid w:val="002B6356"/>
    <w:rsid w:val="002B67BD"/>
    <w:rsid w:val="002B7029"/>
    <w:rsid w:val="002C09CD"/>
    <w:rsid w:val="002C15AE"/>
    <w:rsid w:val="002C54AF"/>
    <w:rsid w:val="002C55DB"/>
    <w:rsid w:val="002C59C7"/>
    <w:rsid w:val="002D0E64"/>
    <w:rsid w:val="002D2C64"/>
    <w:rsid w:val="002D2FF6"/>
    <w:rsid w:val="002D377A"/>
    <w:rsid w:val="002D5143"/>
    <w:rsid w:val="002D56ED"/>
    <w:rsid w:val="002D7077"/>
    <w:rsid w:val="002D7096"/>
    <w:rsid w:val="002E0528"/>
    <w:rsid w:val="002E577C"/>
    <w:rsid w:val="002E5C15"/>
    <w:rsid w:val="002E5DFD"/>
    <w:rsid w:val="002E75C9"/>
    <w:rsid w:val="002F0300"/>
    <w:rsid w:val="002F071E"/>
    <w:rsid w:val="002F29A0"/>
    <w:rsid w:val="002F2ACB"/>
    <w:rsid w:val="002F4602"/>
    <w:rsid w:val="002F49D5"/>
    <w:rsid w:val="002F4AE4"/>
    <w:rsid w:val="002F611D"/>
    <w:rsid w:val="002F6490"/>
    <w:rsid w:val="00301408"/>
    <w:rsid w:val="00301577"/>
    <w:rsid w:val="003015BD"/>
    <w:rsid w:val="0030181F"/>
    <w:rsid w:val="00301B0B"/>
    <w:rsid w:val="003028D3"/>
    <w:rsid w:val="00302F31"/>
    <w:rsid w:val="003035D3"/>
    <w:rsid w:val="00303721"/>
    <w:rsid w:val="00304FC1"/>
    <w:rsid w:val="00305E4A"/>
    <w:rsid w:val="003061C5"/>
    <w:rsid w:val="0030779D"/>
    <w:rsid w:val="00307A3D"/>
    <w:rsid w:val="00307AF9"/>
    <w:rsid w:val="0031081F"/>
    <w:rsid w:val="00312947"/>
    <w:rsid w:val="0031377B"/>
    <w:rsid w:val="00314057"/>
    <w:rsid w:val="00314743"/>
    <w:rsid w:val="00314AA7"/>
    <w:rsid w:val="00315090"/>
    <w:rsid w:val="0031651E"/>
    <w:rsid w:val="003170F6"/>
    <w:rsid w:val="00317608"/>
    <w:rsid w:val="00322330"/>
    <w:rsid w:val="003233E5"/>
    <w:rsid w:val="00323641"/>
    <w:rsid w:val="003236FB"/>
    <w:rsid w:val="00324298"/>
    <w:rsid w:val="00325907"/>
    <w:rsid w:val="003301F0"/>
    <w:rsid w:val="0033150D"/>
    <w:rsid w:val="00331ABE"/>
    <w:rsid w:val="00335454"/>
    <w:rsid w:val="0033549B"/>
    <w:rsid w:val="00337CB6"/>
    <w:rsid w:val="0034236F"/>
    <w:rsid w:val="003440F7"/>
    <w:rsid w:val="00344910"/>
    <w:rsid w:val="00345D16"/>
    <w:rsid w:val="0034606E"/>
    <w:rsid w:val="00346078"/>
    <w:rsid w:val="00347105"/>
    <w:rsid w:val="00347287"/>
    <w:rsid w:val="00347405"/>
    <w:rsid w:val="0034743D"/>
    <w:rsid w:val="00347C5C"/>
    <w:rsid w:val="0035056F"/>
    <w:rsid w:val="0035158F"/>
    <w:rsid w:val="00352FB3"/>
    <w:rsid w:val="00354055"/>
    <w:rsid w:val="003560BD"/>
    <w:rsid w:val="00356255"/>
    <w:rsid w:val="00357C79"/>
    <w:rsid w:val="0036118E"/>
    <w:rsid w:val="00361505"/>
    <w:rsid w:val="00363204"/>
    <w:rsid w:val="0036349F"/>
    <w:rsid w:val="00363694"/>
    <w:rsid w:val="003643D7"/>
    <w:rsid w:val="00364A90"/>
    <w:rsid w:val="00367039"/>
    <w:rsid w:val="00372C4D"/>
    <w:rsid w:val="00372D1D"/>
    <w:rsid w:val="00374189"/>
    <w:rsid w:val="00374F0F"/>
    <w:rsid w:val="003750B5"/>
    <w:rsid w:val="00377168"/>
    <w:rsid w:val="00382E92"/>
    <w:rsid w:val="003846A4"/>
    <w:rsid w:val="00386F48"/>
    <w:rsid w:val="003871E6"/>
    <w:rsid w:val="00387436"/>
    <w:rsid w:val="00387A8E"/>
    <w:rsid w:val="00391559"/>
    <w:rsid w:val="00393535"/>
    <w:rsid w:val="0039389C"/>
    <w:rsid w:val="00393DC0"/>
    <w:rsid w:val="003946E9"/>
    <w:rsid w:val="00395490"/>
    <w:rsid w:val="00395496"/>
    <w:rsid w:val="0039788F"/>
    <w:rsid w:val="003A0AF6"/>
    <w:rsid w:val="003A11A4"/>
    <w:rsid w:val="003A2B4C"/>
    <w:rsid w:val="003A2CEB"/>
    <w:rsid w:val="003A353E"/>
    <w:rsid w:val="003A39C0"/>
    <w:rsid w:val="003A6567"/>
    <w:rsid w:val="003A7E68"/>
    <w:rsid w:val="003B1837"/>
    <w:rsid w:val="003C0201"/>
    <w:rsid w:val="003C1F0E"/>
    <w:rsid w:val="003C2179"/>
    <w:rsid w:val="003C2858"/>
    <w:rsid w:val="003C4FED"/>
    <w:rsid w:val="003C56A8"/>
    <w:rsid w:val="003C5F81"/>
    <w:rsid w:val="003C6803"/>
    <w:rsid w:val="003C73FE"/>
    <w:rsid w:val="003D0248"/>
    <w:rsid w:val="003D042F"/>
    <w:rsid w:val="003D0529"/>
    <w:rsid w:val="003D322B"/>
    <w:rsid w:val="003D3B79"/>
    <w:rsid w:val="003D48F2"/>
    <w:rsid w:val="003D57EC"/>
    <w:rsid w:val="003D5817"/>
    <w:rsid w:val="003D6B4E"/>
    <w:rsid w:val="003E0092"/>
    <w:rsid w:val="003E1052"/>
    <w:rsid w:val="003E15E2"/>
    <w:rsid w:val="003E295B"/>
    <w:rsid w:val="003E4FF9"/>
    <w:rsid w:val="003E536F"/>
    <w:rsid w:val="003E7319"/>
    <w:rsid w:val="003E790B"/>
    <w:rsid w:val="003F115D"/>
    <w:rsid w:val="003F1486"/>
    <w:rsid w:val="003F158B"/>
    <w:rsid w:val="003F1EDC"/>
    <w:rsid w:val="003F28DF"/>
    <w:rsid w:val="003F4367"/>
    <w:rsid w:val="003F6061"/>
    <w:rsid w:val="003F6B9A"/>
    <w:rsid w:val="00400FFB"/>
    <w:rsid w:val="00404CD4"/>
    <w:rsid w:val="00404FD4"/>
    <w:rsid w:val="004050DB"/>
    <w:rsid w:val="00405D50"/>
    <w:rsid w:val="00407545"/>
    <w:rsid w:val="004101F8"/>
    <w:rsid w:val="00411890"/>
    <w:rsid w:val="00412A90"/>
    <w:rsid w:val="00414CFF"/>
    <w:rsid w:val="00415A34"/>
    <w:rsid w:val="00415D87"/>
    <w:rsid w:val="00416782"/>
    <w:rsid w:val="00417C36"/>
    <w:rsid w:val="00420F06"/>
    <w:rsid w:val="0042285D"/>
    <w:rsid w:val="00423053"/>
    <w:rsid w:val="004245B7"/>
    <w:rsid w:val="004247FC"/>
    <w:rsid w:val="00424BA9"/>
    <w:rsid w:val="00425EFE"/>
    <w:rsid w:val="004273F5"/>
    <w:rsid w:val="00433898"/>
    <w:rsid w:val="00433A07"/>
    <w:rsid w:val="00433DEF"/>
    <w:rsid w:val="00437A39"/>
    <w:rsid w:val="00443800"/>
    <w:rsid w:val="00443869"/>
    <w:rsid w:val="004443A4"/>
    <w:rsid w:val="00446641"/>
    <w:rsid w:val="00446992"/>
    <w:rsid w:val="00447074"/>
    <w:rsid w:val="00447914"/>
    <w:rsid w:val="00451525"/>
    <w:rsid w:val="004516AD"/>
    <w:rsid w:val="00451913"/>
    <w:rsid w:val="00451C36"/>
    <w:rsid w:val="00451ED2"/>
    <w:rsid w:val="00452B6F"/>
    <w:rsid w:val="00456C56"/>
    <w:rsid w:val="00460AD5"/>
    <w:rsid w:val="00461184"/>
    <w:rsid w:val="0046290E"/>
    <w:rsid w:val="004631AB"/>
    <w:rsid w:val="0046364C"/>
    <w:rsid w:val="00464C20"/>
    <w:rsid w:val="00465D7D"/>
    <w:rsid w:val="00466044"/>
    <w:rsid w:val="0046635F"/>
    <w:rsid w:val="004679EA"/>
    <w:rsid w:val="00470D73"/>
    <w:rsid w:val="0047271F"/>
    <w:rsid w:val="00473B60"/>
    <w:rsid w:val="00473DDA"/>
    <w:rsid w:val="00474784"/>
    <w:rsid w:val="00475FE2"/>
    <w:rsid w:val="00477B10"/>
    <w:rsid w:val="00477FBB"/>
    <w:rsid w:val="004802FC"/>
    <w:rsid w:val="00480EF6"/>
    <w:rsid w:val="004820F0"/>
    <w:rsid w:val="00482330"/>
    <w:rsid w:val="00482CF8"/>
    <w:rsid w:val="00482F1A"/>
    <w:rsid w:val="00483BE3"/>
    <w:rsid w:val="00483D5F"/>
    <w:rsid w:val="004841FF"/>
    <w:rsid w:val="004844D1"/>
    <w:rsid w:val="004847BF"/>
    <w:rsid w:val="00484A13"/>
    <w:rsid w:val="00484C0D"/>
    <w:rsid w:val="00487E89"/>
    <w:rsid w:val="0049197C"/>
    <w:rsid w:val="00491E6A"/>
    <w:rsid w:val="004920F3"/>
    <w:rsid w:val="0049374B"/>
    <w:rsid w:val="004938FF"/>
    <w:rsid w:val="00493B35"/>
    <w:rsid w:val="0049591A"/>
    <w:rsid w:val="004A0164"/>
    <w:rsid w:val="004A12DF"/>
    <w:rsid w:val="004A1FCB"/>
    <w:rsid w:val="004A2070"/>
    <w:rsid w:val="004A2B78"/>
    <w:rsid w:val="004A2DA1"/>
    <w:rsid w:val="004A357D"/>
    <w:rsid w:val="004A3ED2"/>
    <w:rsid w:val="004A4982"/>
    <w:rsid w:val="004A71BE"/>
    <w:rsid w:val="004A732D"/>
    <w:rsid w:val="004A7C28"/>
    <w:rsid w:val="004A7E77"/>
    <w:rsid w:val="004B0832"/>
    <w:rsid w:val="004B097C"/>
    <w:rsid w:val="004B1609"/>
    <w:rsid w:val="004B6399"/>
    <w:rsid w:val="004B7160"/>
    <w:rsid w:val="004C0CD5"/>
    <w:rsid w:val="004C1069"/>
    <w:rsid w:val="004C1F8F"/>
    <w:rsid w:val="004C2CC0"/>
    <w:rsid w:val="004C43DC"/>
    <w:rsid w:val="004C62A0"/>
    <w:rsid w:val="004C7E36"/>
    <w:rsid w:val="004D06D1"/>
    <w:rsid w:val="004D149E"/>
    <w:rsid w:val="004D1ABE"/>
    <w:rsid w:val="004D249E"/>
    <w:rsid w:val="004D282F"/>
    <w:rsid w:val="004D2C4D"/>
    <w:rsid w:val="004D39CF"/>
    <w:rsid w:val="004D41E5"/>
    <w:rsid w:val="004D4EF8"/>
    <w:rsid w:val="004D570F"/>
    <w:rsid w:val="004D62D1"/>
    <w:rsid w:val="004E0327"/>
    <w:rsid w:val="004E0FA5"/>
    <w:rsid w:val="004E1101"/>
    <w:rsid w:val="004E1822"/>
    <w:rsid w:val="004E1CB2"/>
    <w:rsid w:val="004E46F5"/>
    <w:rsid w:val="004E48D9"/>
    <w:rsid w:val="004E514D"/>
    <w:rsid w:val="004E59D6"/>
    <w:rsid w:val="004E7C90"/>
    <w:rsid w:val="004E7CDC"/>
    <w:rsid w:val="004F269E"/>
    <w:rsid w:val="004F2EB9"/>
    <w:rsid w:val="004F305B"/>
    <w:rsid w:val="004F4019"/>
    <w:rsid w:val="004F4F5A"/>
    <w:rsid w:val="004F6B24"/>
    <w:rsid w:val="004F7309"/>
    <w:rsid w:val="005000DB"/>
    <w:rsid w:val="005004E1"/>
    <w:rsid w:val="00500775"/>
    <w:rsid w:val="00500876"/>
    <w:rsid w:val="00500AC0"/>
    <w:rsid w:val="00500E37"/>
    <w:rsid w:val="0050254C"/>
    <w:rsid w:val="0050393F"/>
    <w:rsid w:val="00511E57"/>
    <w:rsid w:val="005129EA"/>
    <w:rsid w:val="0051425A"/>
    <w:rsid w:val="005146F9"/>
    <w:rsid w:val="0051535D"/>
    <w:rsid w:val="005168DD"/>
    <w:rsid w:val="00517C7C"/>
    <w:rsid w:val="00521B0F"/>
    <w:rsid w:val="00521E96"/>
    <w:rsid w:val="005247F9"/>
    <w:rsid w:val="00524E25"/>
    <w:rsid w:val="00531511"/>
    <w:rsid w:val="005315A3"/>
    <w:rsid w:val="00531A76"/>
    <w:rsid w:val="00534D61"/>
    <w:rsid w:val="00542ED2"/>
    <w:rsid w:val="0054445F"/>
    <w:rsid w:val="00544D9D"/>
    <w:rsid w:val="00546062"/>
    <w:rsid w:val="00546A71"/>
    <w:rsid w:val="00546EDF"/>
    <w:rsid w:val="005476BB"/>
    <w:rsid w:val="0055015E"/>
    <w:rsid w:val="00552880"/>
    <w:rsid w:val="005553DD"/>
    <w:rsid w:val="00555BB2"/>
    <w:rsid w:val="00555D33"/>
    <w:rsid w:val="00556ADC"/>
    <w:rsid w:val="00562973"/>
    <w:rsid w:val="00562FD5"/>
    <w:rsid w:val="00563717"/>
    <w:rsid w:val="00565410"/>
    <w:rsid w:val="00571B32"/>
    <w:rsid w:val="005720E7"/>
    <w:rsid w:val="0057296B"/>
    <w:rsid w:val="0057326C"/>
    <w:rsid w:val="00574758"/>
    <w:rsid w:val="00575614"/>
    <w:rsid w:val="005770CB"/>
    <w:rsid w:val="00577410"/>
    <w:rsid w:val="005816E7"/>
    <w:rsid w:val="00582566"/>
    <w:rsid w:val="00582CB1"/>
    <w:rsid w:val="00583185"/>
    <w:rsid w:val="00584830"/>
    <w:rsid w:val="00584DDA"/>
    <w:rsid w:val="0058516E"/>
    <w:rsid w:val="005859EF"/>
    <w:rsid w:val="0058630A"/>
    <w:rsid w:val="005864CE"/>
    <w:rsid w:val="00586FDC"/>
    <w:rsid w:val="00590918"/>
    <w:rsid w:val="005909FE"/>
    <w:rsid w:val="00591250"/>
    <w:rsid w:val="00592F25"/>
    <w:rsid w:val="00596D18"/>
    <w:rsid w:val="005A075B"/>
    <w:rsid w:val="005A1518"/>
    <w:rsid w:val="005A17E0"/>
    <w:rsid w:val="005A2653"/>
    <w:rsid w:val="005A28FD"/>
    <w:rsid w:val="005A3FA4"/>
    <w:rsid w:val="005A47D2"/>
    <w:rsid w:val="005A4B0F"/>
    <w:rsid w:val="005A562E"/>
    <w:rsid w:val="005A7C33"/>
    <w:rsid w:val="005B11B1"/>
    <w:rsid w:val="005B122B"/>
    <w:rsid w:val="005B155F"/>
    <w:rsid w:val="005B1C26"/>
    <w:rsid w:val="005B2A68"/>
    <w:rsid w:val="005B2E8A"/>
    <w:rsid w:val="005B4108"/>
    <w:rsid w:val="005B5FB1"/>
    <w:rsid w:val="005B6EB0"/>
    <w:rsid w:val="005B71FE"/>
    <w:rsid w:val="005C066E"/>
    <w:rsid w:val="005C078F"/>
    <w:rsid w:val="005C16B4"/>
    <w:rsid w:val="005C3AFA"/>
    <w:rsid w:val="005C476F"/>
    <w:rsid w:val="005C47CB"/>
    <w:rsid w:val="005C4914"/>
    <w:rsid w:val="005C680B"/>
    <w:rsid w:val="005D0243"/>
    <w:rsid w:val="005D11DD"/>
    <w:rsid w:val="005D1623"/>
    <w:rsid w:val="005D1809"/>
    <w:rsid w:val="005D3039"/>
    <w:rsid w:val="005D5C29"/>
    <w:rsid w:val="005D62D3"/>
    <w:rsid w:val="005D7465"/>
    <w:rsid w:val="005E06A7"/>
    <w:rsid w:val="005E10F4"/>
    <w:rsid w:val="005E234B"/>
    <w:rsid w:val="005E490D"/>
    <w:rsid w:val="005E59E2"/>
    <w:rsid w:val="005E5E6E"/>
    <w:rsid w:val="005E5F0E"/>
    <w:rsid w:val="005E5F7A"/>
    <w:rsid w:val="005E78CE"/>
    <w:rsid w:val="005F0603"/>
    <w:rsid w:val="005F1403"/>
    <w:rsid w:val="005F2367"/>
    <w:rsid w:val="005F489F"/>
    <w:rsid w:val="005F4C05"/>
    <w:rsid w:val="005F50F4"/>
    <w:rsid w:val="005F5C48"/>
    <w:rsid w:val="005F60B2"/>
    <w:rsid w:val="005F6EB5"/>
    <w:rsid w:val="005F7412"/>
    <w:rsid w:val="005F76F1"/>
    <w:rsid w:val="00601374"/>
    <w:rsid w:val="00601782"/>
    <w:rsid w:val="00602557"/>
    <w:rsid w:val="00602BD4"/>
    <w:rsid w:val="00603ABA"/>
    <w:rsid w:val="00603E85"/>
    <w:rsid w:val="00603EE5"/>
    <w:rsid w:val="00605EBB"/>
    <w:rsid w:val="0060762F"/>
    <w:rsid w:val="0061086D"/>
    <w:rsid w:val="00615373"/>
    <w:rsid w:val="00616299"/>
    <w:rsid w:val="00617319"/>
    <w:rsid w:val="006200E4"/>
    <w:rsid w:val="00620897"/>
    <w:rsid w:val="00621CA0"/>
    <w:rsid w:val="00622A69"/>
    <w:rsid w:val="00625167"/>
    <w:rsid w:val="00625B13"/>
    <w:rsid w:val="00625C34"/>
    <w:rsid w:val="006269C7"/>
    <w:rsid w:val="0062791E"/>
    <w:rsid w:val="00633A3B"/>
    <w:rsid w:val="00633E80"/>
    <w:rsid w:val="00635133"/>
    <w:rsid w:val="00635500"/>
    <w:rsid w:val="0063618C"/>
    <w:rsid w:val="00637B57"/>
    <w:rsid w:val="006402BB"/>
    <w:rsid w:val="00640796"/>
    <w:rsid w:val="00640EFD"/>
    <w:rsid w:val="0064468D"/>
    <w:rsid w:val="006447FB"/>
    <w:rsid w:val="00645E75"/>
    <w:rsid w:val="006466DD"/>
    <w:rsid w:val="0064751F"/>
    <w:rsid w:val="006505B2"/>
    <w:rsid w:val="006509E1"/>
    <w:rsid w:val="00650D8B"/>
    <w:rsid w:val="0065148E"/>
    <w:rsid w:val="006516FE"/>
    <w:rsid w:val="00651C89"/>
    <w:rsid w:val="00653CFF"/>
    <w:rsid w:val="006543A7"/>
    <w:rsid w:val="00654E30"/>
    <w:rsid w:val="00655966"/>
    <w:rsid w:val="00656667"/>
    <w:rsid w:val="00660727"/>
    <w:rsid w:val="00660D48"/>
    <w:rsid w:val="006618D8"/>
    <w:rsid w:val="006629DD"/>
    <w:rsid w:val="00662A00"/>
    <w:rsid w:val="00664588"/>
    <w:rsid w:val="006655FB"/>
    <w:rsid w:val="00667584"/>
    <w:rsid w:val="00667DA8"/>
    <w:rsid w:val="00670377"/>
    <w:rsid w:val="00671028"/>
    <w:rsid w:val="006710BE"/>
    <w:rsid w:val="00671F44"/>
    <w:rsid w:val="0067228E"/>
    <w:rsid w:val="006730A4"/>
    <w:rsid w:val="00674090"/>
    <w:rsid w:val="00675DE8"/>
    <w:rsid w:val="00676E3A"/>
    <w:rsid w:val="00677678"/>
    <w:rsid w:val="00677739"/>
    <w:rsid w:val="00680F53"/>
    <w:rsid w:val="006814AA"/>
    <w:rsid w:val="00681C0F"/>
    <w:rsid w:val="00681DDC"/>
    <w:rsid w:val="006823C9"/>
    <w:rsid w:val="00682AAA"/>
    <w:rsid w:val="00684781"/>
    <w:rsid w:val="0068487D"/>
    <w:rsid w:val="00685366"/>
    <w:rsid w:val="006856F1"/>
    <w:rsid w:val="00685DC3"/>
    <w:rsid w:val="0068641A"/>
    <w:rsid w:val="0068778B"/>
    <w:rsid w:val="00687929"/>
    <w:rsid w:val="00690E9F"/>
    <w:rsid w:val="006923A3"/>
    <w:rsid w:val="00692C09"/>
    <w:rsid w:val="00693783"/>
    <w:rsid w:val="00694B67"/>
    <w:rsid w:val="00696225"/>
    <w:rsid w:val="00696E4D"/>
    <w:rsid w:val="00696F3C"/>
    <w:rsid w:val="00697479"/>
    <w:rsid w:val="006A0C5C"/>
    <w:rsid w:val="006A13B0"/>
    <w:rsid w:val="006A13F2"/>
    <w:rsid w:val="006A26A0"/>
    <w:rsid w:val="006A4076"/>
    <w:rsid w:val="006A4486"/>
    <w:rsid w:val="006A4C61"/>
    <w:rsid w:val="006A5B73"/>
    <w:rsid w:val="006A645D"/>
    <w:rsid w:val="006A757E"/>
    <w:rsid w:val="006A7D4C"/>
    <w:rsid w:val="006B015A"/>
    <w:rsid w:val="006B1E3B"/>
    <w:rsid w:val="006B504D"/>
    <w:rsid w:val="006B76D9"/>
    <w:rsid w:val="006B7A72"/>
    <w:rsid w:val="006C00C2"/>
    <w:rsid w:val="006C0999"/>
    <w:rsid w:val="006C147B"/>
    <w:rsid w:val="006C26D3"/>
    <w:rsid w:val="006C31C1"/>
    <w:rsid w:val="006C38CF"/>
    <w:rsid w:val="006C3AC0"/>
    <w:rsid w:val="006C3EAD"/>
    <w:rsid w:val="006C6CBE"/>
    <w:rsid w:val="006C722E"/>
    <w:rsid w:val="006C76D2"/>
    <w:rsid w:val="006D0531"/>
    <w:rsid w:val="006D08B1"/>
    <w:rsid w:val="006D23F5"/>
    <w:rsid w:val="006D5D7E"/>
    <w:rsid w:val="006D5E3F"/>
    <w:rsid w:val="006D68D2"/>
    <w:rsid w:val="006D7208"/>
    <w:rsid w:val="006D7AF3"/>
    <w:rsid w:val="006E1299"/>
    <w:rsid w:val="006E17F0"/>
    <w:rsid w:val="006E1960"/>
    <w:rsid w:val="006E3235"/>
    <w:rsid w:val="006E3F95"/>
    <w:rsid w:val="006E46B1"/>
    <w:rsid w:val="006E747E"/>
    <w:rsid w:val="006E78EB"/>
    <w:rsid w:val="006E7A03"/>
    <w:rsid w:val="006F2428"/>
    <w:rsid w:val="006F285E"/>
    <w:rsid w:val="006F2E54"/>
    <w:rsid w:val="006F51CD"/>
    <w:rsid w:val="006F6EE3"/>
    <w:rsid w:val="006F73D2"/>
    <w:rsid w:val="00700069"/>
    <w:rsid w:val="007007CA"/>
    <w:rsid w:val="0070370A"/>
    <w:rsid w:val="00704D43"/>
    <w:rsid w:val="00704F3F"/>
    <w:rsid w:val="00706229"/>
    <w:rsid w:val="00706FB2"/>
    <w:rsid w:val="0070707B"/>
    <w:rsid w:val="00710151"/>
    <w:rsid w:val="00710E05"/>
    <w:rsid w:val="00712492"/>
    <w:rsid w:val="00713B7F"/>
    <w:rsid w:val="007147AC"/>
    <w:rsid w:val="007147EF"/>
    <w:rsid w:val="00715436"/>
    <w:rsid w:val="007167B7"/>
    <w:rsid w:val="00716D7D"/>
    <w:rsid w:val="00716F4D"/>
    <w:rsid w:val="00721ED0"/>
    <w:rsid w:val="0072303A"/>
    <w:rsid w:val="007252FB"/>
    <w:rsid w:val="00725686"/>
    <w:rsid w:val="00725C70"/>
    <w:rsid w:val="00725CB3"/>
    <w:rsid w:val="00727A19"/>
    <w:rsid w:val="0073101C"/>
    <w:rsid w:val="007323E5"/>
    <w:rsid w:val="0073790D"/>
    <w:rsid w:val="0074048C"/>
    <w:rsid w:val="00741F64"/>
    <w:rsid w:val="00743F78"/>
    <w:rsid w:val="007444D7"/>
    <w:rsid w:val="00746B0D"/>
    <w:rsid w:val="007471FB"/>
    <w:rsid w:val="00747D95"/>
    <w:rsid w:val="00750552"/>
    <w:rsid w:val="00750A17"/>
    <w:rsid w:val="0075218F"/>
    <w:rsid w:val="0075345E"/>
    <w:rsid w:val="00753C1A"/>
    <w:rsid w:val="00754349"/>
    <w:rsid w:val="007543D7"/>
    <w:rsid w:val="00755C16"/>
    <w:rsid w:val="00757391"/>
    <w:rsid w:val="00757975"/>
    <w:rsid w:val="00761F22"/>
    <w:rsid w:val="00765C76"/>
    <w:rsid w:val="00766562"/>
    <w:rsid w:val="007668D8"/>
    <w:rsid w:val="00766B7E"/>
    <w:rsid w:val="00767403"/>
    <w:rsid w:val="0076759D"/>
    <w:rsid w:val="00767AAC"/>
    <w:rsid w:val="00770882"/>
    <w:rsid w:val="007716E5"/>
    <w:rsid w:val="0077224C"/>
    <w:rsid w:val="007732AE"/>
    <w:rsid w:val="00774E48"/>
    <w:rsid w:val="007753D3"/>
    <w:rsid w:val="00780799"/>
    <w:rsid w:val="007829D9"/>
    <w:rsid w:val="00784E87"/>
    <w:rsid w:val="0078564B"/>
    <w:rsid w:val="007857CA"/>
    <w:rsid w:val="00786473"/>
    <w:rsid w:val="00786583"/>
    <w:rsid w:val="00790229"/>
    <w:rsid w:val="00790933"/>
    <w:rsid w:val="00791B85"/>
    <w:rsid w:val="007937E7"/>
    <w:rsid w:val="00795308"/>
    <w:rsid w:val="00795635"/>
    <w:rsid w:val="00796AF3"/>
    <w:rsid w:val="007A04A0"/>
    <w:rsid w:val="007A13B6"/>
    <w:rsid w:val="007A1690"/>
    <w:rsid w:val="007A1AE0"/>
    <w:rsid w:val="007A2985"/>
    <w:rsid w:val="007A35C3"/>
    <w:rsid w:val="007A45EC"/>
    <w:rsid w:val="007A487C"/>
    <w:rsid w:val="007A4F27"/>
    <w:rsid w:val="007A567D"/>
    <w:rsid w:val="007A6A33"/>
    <w:rsid w:val="007B0335"/>
    <w:rsid w:val="007B0EBE"/>
    <w:rsid w:val="007B33D6"/>
    <w:rsid w:val="007B475E"/>
    <w:rsid w:val="007B4873"/>
    <w:rsid w:val="007B5559"/>
    <w:rsid w:val="007B663F"/>
    <w:rsid w:val="007B7164"/>
    <w:rsid w:val="007B71CF"/>
    <w:rsid w:val="007C1D0A"/>
    <w:rsid w:val="007C2716"/>
    <w:rsid w:val="007C2854"/>
    <w:rsid w:val="007C2AC0"/>
    <w:rsid w:val="007C3C1D"/>
    <w:rsid w:val="007C4648"/>
    <w:rsid w:val="007C48B8"/>
    <w:rsid w:val="007C498E"/>
    <w:rsid w:val="007C4DDC"/>
    <w:rsid w:val="007C5EEB"/>
    <w:rsid w:val="007C79AC"/>
    <w:rsid w:val="007D10DC"/>
    <w:rsid w:val="007D1C4A"/>
    <w:rsid w:val="007D440C"/>
    <w:rsid w:val="007D452A"/>
    <w:rsid w:val="007D5DE4"/>
    <w:rsid w:val="007D72CE"/>
    <w:rsid w:val="007E14CA"/>
    <w:rsid w:val="007E378F"/>
    <w:rsid w:val="007E3CEB"/>
    <w:rsid w:val="007E6A9F"/>
    <w:rsid w:val="007E6C33"/>
    <w:rsid w:val="007E6FBA"/>
    <w:rsid w:val="007E75C5"/>
    <w:rsid w:val="007F07E1"/>
    <w:rsid w:val="007F1082"/>
    <w:rsid w:val="007F30D6"/>
    <w:rsid w:val="007F5058"/>
    <w:rsid w:val="007F51DD"/>
    <w:rsid w:val="007F54A7"/>
    <w:rsid w:val="007F5950"/>
    <w:rsid w:val="007F77E1"/>
    <w:rsid w:val="00802677"/>
    <w:rsid w:val="008032AD"/>
    <w:rsid w:val="00804CCB"/>
    <w:rsid w:val="008056C7"/>
    <w:rsid w:val="00806330"/>
    <w:rsid w:val="008065BF"/>
    <w:rsid w:val="00807585"/>
    <w:rsid w:val="00807832"/>
    <w:rsid w:val="00812BFF"/>
    <w:rsid w:val="00813614"/>
    <w:rsid w:val="00814F4D"/>
    <w:rsid w:val="00815098"/>
    <w:rsid w:val="008152A0"/>
    <w:rsid w:val="00815822"/>
    <w:rsid w:val="008239D5"/>
    <w:rsid w:val="00825184"/>
    <w:rsid w:val="008251D4"/>
    <w:rsid w:val="00825455"/>
    <w:rsid w:val="00834B8C"/>
    <w:rsid w:val="00834D38"/>
    <w:rsid w:val="00836013"/>
    <w:rsid w:val="008369A3"/>
    <w:rsid w:val="00841685"/>
    <w:rsid w:val="00842A2A"/>
    <w:rsid w:val="0084557F"/>
    <w:rsid w:val="0084590C"/>
    <w:rsid w:val="00846BD3"/>
    <w:rsid w:val="00850F9C"/>
    <w:rsid w:val="0085100A"/>
    <w:rsid w:val="00854A54"/>
    <w:rsid w:val="008550A2"/>
    <w:rsid w:val="00855832"/>
    <w:rsid w:val="00856740"/>
    <w:rsid w:val="00857603"/>
    <w:rsid w:val="0086215A"/>
    <w:rsid w:val="00863D0C"/>
    <w:rsid w:val="00863F2A"/>
    <w:rsid w:val="0086625E"/>
    <w:rsid w:val="00866385"/>
    <w:rsid w:val="0087022A"/>
    <w:rsid w:val="00870287"/>
    <w:rsid w:val="00870825"/>
    <w:rsid w:val="0087096E"/>
    <w:rsid w:val="00870FA6"/>
    <w:rsid w:val="0087111C"/>
    <w:rsid w:val="0087280C"/>
    <w:rsid w:val="0087297F"/>
    <w:rsid w:val="00873425"/>
    <w:rsid w:val="00873C53"/>
    <w:rsid w:val="00874990"/>
    <w:rsid w:val="00877272"/>
    <w:rsid w:val="00877BF5"/>
    <w:rsid w:val="00877DE0"/>
    <w:rsid w:val="008807CE"/>
    <w:rsid w:val="008835CA"/>
    <w:rsid w:val="0088490B"/>
    <w:rsid w:val="008861C1"/>
    <w:rsid w:val="00886994"/>
    <w:rsid w:val="00886E6F"/>
    <w:rsid w:val="00891D51"/>
    <w:rsid w:val="008932A8"/>
    <w:rsid w:val="00894B86"/>
    <w:rsid w:val="0089706B"/>
    <w:rsid w:val="008A0B38"/>
    <w:rsid w:val="008A110E"/>
    <w:rsid w:val="008A182C"/>
    <w:rsid w:val="008A4470"/>
    <w:rsid w:val="008A4525"/>
    <w:rsid w:val="008A5C32"/>
    <w:rsid w:val="008A7530"/>
    <w:rsid w:val="008A7E5E"/>
    <w:rsid w:val="008B03E9"/>
    <w:rsid w:val="008B1A30"/>
    <w:rsid w:val="008B3C1A"/>
    <w:rsid w:val="008B54D7"/>
    <w:rsid w:val="008B56BD"/>
    <w:rsid w:val="008C17AB"/>
    <w:rsid w:val="008C3631"/>
    <w:rsid w:val="008C37D6"/>
    <w:rsid w:val="008C3EBF"/>
    <w:rsid w:val="008C7703"/>
    <w:rsid w:val="008C7DC0"/>
    <w:rsid w:val="008D1CA3"/>
    <w:rsid w:val="008D267D"/>
    <w:rsid w:val="008D2A93"/>
    <w:rsid w:val="008D2FA8"/>
    <w:rsid w:val="008D378D"/>
    <w:rsid w:val="008D3B7C"/>
    <w:rsid w:val="008D5F9D"/>
    <w:rsid w:val="008D6348"/>
    <w:rsid w:val="008D7673"/>
    <w:rsid w:val="008D7A9C"/>
    <w:rsid w:val="008E1C2C"/>
    <w:rsid w:val="008E291D"/>
    <w:rsid w:val="008E45AA"/>
    <w:rsid w:val="008E4609"/>
    <w:rsid w:val="008E4793"/>
    <w:rsid w:val="008E5310"/>
    <w:rsid w:val="008E5EFD"/>
    <w:rsid w:val="008E5FAD"/>
    <w:rsid w:val="008E649E"/>
    <w:rsid w:val="008E712E"/>
    <w:rsid w:val="008E7DE3"/>
    <w:rsid w:val="008F0093"/>
    <w:rsid w:val="008F0736"/>
    <w:rsid w:val="008F38EA"/>
    <w:rsid w:val="008F3DCD"/>
    <w:rsid w:val="008F6925"/>
    <w:rsid w:val="008F7DBC"/>
    <w:rsid w:val="00900ED5"/>
    <w:rsid w:val="009011EC"/>
    <w:rsid w:val="00902316"/>
    <w:rsid w:val="00903686"/>
    <w:rsid w:val="0090541D"/>
    <w:rsid w:val="00905D90"/>
    <w:rsid w:val="0091008A"/>
    <w:rsid w:val="009109D8"/>
    <w:rsid w:val="00911B5A"/>
    <w:rsid w:val="0091220C"/>
    <w:rsid w:val="00912904"/>
    <w:rsid w:val="00913404"/>
    <w:rsid w:val="00913443"/>
    <w:rsid w:val="00913ECC"/>
    <w:rsid w:val="00915D0A"/>
    <w:rsid w:val="00915FF3"/>
    <w:rsid w:val="009166A7"/>
    <w:rsid w:val="00920242"/>
    <w:rsid w:val="00920B50"/>
    <w:rsid w:val="00921BBA"/>
    <w:rsid w:val="00922ADE"/>
    <w:rsid w:val="00923BFF"/>
    <w:rsid w:val="00925D8A"/>
    <w:rsid w:val="009261BF"/>
    <w:rsid w:val="0092649D"/>
    <w:rsid w:val="00926F28"/>
    <w:rsid w:val="009301E4"/>
    <w:rsid w:val="00930B1B"/>
    <w:rsid w:val="00930D70"/>
    <w:rsid w:val="009324B6"/>
    <w:rsid w:val="00932A9D"/>
    <w:rsid w:val="0093317D"/>
    <w:rsid w:val="00933F0C"/>
    <w:rsid w:val="009340BC"/>
    <w:rsid w:val="00934773"/>
    <w:rsid w:val="00934E60"/>
    <w:rsid w:val="00935647"/>
    <w:rsid w:val="00936F12"/>
    <w:rsid w:val="0094161D"/>
    <w:rsid w:val="00941DC8"/>
    <w:rsid w:val="009439C5"/>
    <w:rsid w:val="00945A21"/>
    <w:rsid w:val="00952B7C"/>
    <w:rsid w:val="009536BA"/>
    <w:rsid w:val="009537A7"/>
    <w:rsid w:val="00953999"/>
    <w:rsid w:val="00954084"/>
    <w:rsid w:val="009545EA"/>
    <w:rsid w:val="0095504A"/>
    <w:rsid w:val="00956912"/>
    <w:rsid w:val="0095717A"/>
    <w:rsid w:val="00960A78"/>
    <w:rsid w:val="00961140"/>
    <w:rsid w:val="009614C3"/>
    <w:rsid w:val="009637DA"/>
    <w:rsid w:val="0096443C"/>
    <w:rsid w:val="0096476D"/>
    <w:rsid w:val="00965EAD"/>
    <w:rsid w:val="00966061"/>
    <w:rsid w:val="00966D4C"/>
    <w:rsid w:val="00966D5F"/>
    <w:rsid w:val="009674BE"/>
    <w:rsid w:val="0097003C"/>
    <w:rsid w:val="009703C9"/>
    <w:rsid w:val="009724CD"/>
    <w:rsid w:val="00973649"/>
    <w:rsid w:val="00974C6C"/>
    <w:rsid w:val="00974FA9"/>
    <w:rsid w:val="00976557"/>
    <w:rsid w:val="0097741C"/>
    <w:rsid w:val="00977562"/>
    <w:rsid w:val="0097795F"/>
    <w:rsid w:val="009806BD"/>
    <w:rsid w:val="00980927"/>
    <w:rsid w:val="009828B4"/>
    <w:rsid w:val="00982F4D"/>
    <w:rsid w:val="00983700"/>
    <w:rsid w:val="00983D83"/>
    <w:rsid w:val="00985FB9"/>
    <w:rsid w:val="00986551"/>
    <w:rsid w:val="0099064A"/>
    <w:rsid w:val="00991F6C"/>
    <w:rsid w:val="00992215"/>
    <w:rsid w:val="0099261B"/>
    <w:rsid w:val="009947DB"/>
    <w:rsid w:val="0099480D"/>
    <w:rsid w:val="00995000"/>
    <w:rsid w:val="00995A4B"/>
    <w:rsid w:val="00997BDE"/>
    <w:rsid w:val="00997CB6"/>
    <w:rsid w:val="009A2FE2"/>
    <w:rsid w:val="009A44CF"/>
    <w:rsid w:val="009A697D"/>
    <w:rsid w:val="009A770D"/>
    <w:rsid w:val="009B0E90"/>
    <w:rsid w:val="009B1499"/>
    <w:rsid w:val="009B3BEB"/>
    <w:rsid w:val="009B49E6"/>
    <w:rsid w:val="009B6178"/>
    <w:rsid w:val="009B6DA3"/>
    <w:rsid w:val="009B7252"/>
    <w:rsid w:val="009C0592"/>
    <w:rsid w:val="009C3500"/>
    <w:rsid w:val="009C48AA"/>
    <w:rsid w:val="009C648F"/>
    <w:rsid w:val="009D5366"/>
    <w:rsid w:val="009D5B2F"/>
    <w:rsid w:val="009D6249"/>
    <w:rsid w:val="009D63A5"/>
    <w:rsid w:val="009D6594"/>
    <w:rsid w:val="009D7643"/>
    <w:rsid w:val="009E12C0"/>
    <w:rsid w:val="009E2214"/>
    <w:rsid w:val="009E3F6E"/>
    <w:rsid w:val="009E3F8B"/>
    <w:rsid w:val="009E4424"/>
    <w:rsid w:val="009E6666"/>
    <w:rsid w:val="009F0213"/>
    <w:rsid w:val="009F0DD2"/>
    <w:rsid w:val="009F29D6"/>
    <w:rsid w:val="009F32A4"/>
    <w:rsid w:val="009F61B2"/>
    <w:rsid w:val="00A00501"/>
    <w:rsid w:val="00A00AE9"/>
    <w:rsid w:val="00A015FD"/>
    <w:rsid w:val="00A01DBE"/>
    <w:rsid w:val="00A06208"/>
    <w:rsid w:val="00A07151"/>
    <w:rsid w:val="00A11006"/>
    <w:rsid w:val="00A124DF"/>
    <w:rsid w:val="00A140B8"/>
    <w:rsid w:val="00A16397"/>
    <w:rsid w:val="00A164FE"/>
    <w:rsid w:val="00A16C28"/>
    <w:rsid w:val="00A17C8F"/>
    <w:rsid w:val="00A17CA9"/>
    <w:rsid w:val="00A206D7"/>
    <w:rsid w:val="00A21E8B"/>
    <w:rsid w:val="00A220A1"/>
    <w:rsid w:val="00A223C2"/>
    <w:rsid w:val="00A24D21"/>
    <w:rsid w:val="00A24EB6"/>
    <w:rsid w:val="00A2529C"/>
    <w:rsid w:val="00A25E47"/>
    <w:rsid w:val="00A27256"/>
    <w:rsid w:val="00A27724"/>
    <w:rsid w:val="00A30209"/>
    <w:rsid w:val="00A31910"/>
    <w:rsid w:val="00A32A20"/>
    <w:rsid w:val="00A33072"/>
    <w:rsid w:val="00A3320E"/>
    <w:rsid w:val="00A33A2C"/>
    <w:rsid w:val="00A3561B"/>
    <w:rsid w:val="00A37371"/>
    <w:rsid w:val="00A40343"/>
    <w:rsid w:val="00A4051A"/>
    <w:rsid w:val="00A40760"/>
    <w:rsid w:val="00A415F3"/>
    <w:rsid w:val="00A421B7"/>
    <w:rsid w:val="00A429DC"/>
    <w:rsid w:val="00A44FCA"/>
    <w:rsid w:val="00A4547C"/>
    <w:rsid w:val="00A458C4"/>
    <w:rsid w:val="00A47E06"/>
    <w:rsid w:val="00A50B69"/>
    <w:rsid w:val="00A50D84"/>
    <w:rsid w:val="00A51DDE"/>
    <w:rsid w:val="00A52544"/>
    <w:rsid w:val="00A52952"/>
    <w:rsid w:val="00A52B6D"/>
    <w:rsid w:val="00A619FF"/>
    <w:rsid w:val="00A62ECA"/>
    <w:rsid w:val="00A63045"/>
    <w:rsid w:val="00A63CB1"/>
    <w:rsid w:val="00A63E95"/>
    <w:rsid w:val="00A64248"/>
    <w:rsid w:val="00A65348"/>
    <w:rsid w:val="00A662CA"/>
    <w:rsid w:val="00A70FD9"/>
    <w:rsid w:val="00A71155"/>
    <w:rsid w:val="00A71750"/>
    <w:rsid w:val="00A73684"/>
    <w:rsid w:val="00A74B59"/>
    <w:rsid w:val="00A76F4A"/>
    <w:rsid w:val="00A773C2"/>
    <w:rsid w:val="00A81823"/>
    <w:rsid w:val="00A84D59"/>
    <w:rsid w:val="00A87860"/>
    <w:rsid w:val="00A91051"/>
    <w:rsid w:val="00A922A7"/>
    <w:rsid w:val="00A92651"/>
    <w:rsid w:val="00A93283"/>
    <w:rsid w:val="00A94898"/>
    <w:rsid w:val="00A94B00"/>
    <w:rsid w:val="00A94B27"/>
    <w:rsid w:val="00A95687"/>
    <w:rsid w:val="00A9668C"/>
    <w:rsid w:val="00A967FA"/>
    <w:rsid w:val="00A9680C"/>
    <w:rsid w:val="00A97031"/>
    <w:rsid w:val="00A97C2E"/>
    <w:rsid w:val="00A97E05"/>
    <w:rsid w:val="00AA1474"/>
    <w:rsid w:val="00AA1ABB"/>
    <w:rsid w:val="00AA1C23"/>
    <w:rsid w:val="00AA3801"/>
    <w:rsid w:val="00AA4C43"/>
    <w:rsid w:val="00AA64AF"/>
    <w:rsid w:val="00AA672B"/>
    <w:rsid w:val="00AA6CB9"/>
    <w:rsid w:val="00AA6E44"/>
    <w:rsid w:val="00AB2D6F"/>
    <w:rsid w:val="00AB3145"/>
    <w:rsid w:val="00AB4A16"/>
    <w:rsid w:val="00AB53D5"/>
    <w:rsid w:val="00AB5915"/>
    <w:rsid w:val="00AB5DBA"/>
    <w:rsid w:val="00AB6A77"/>
    <w:rsid w:val="00AB720B"/>
    <w:rsid w:val="00AB7D52"/>
    <w:rsid w:val="00AC0700"/>
    <w:rsid w:val="00AC1392"/>
    <w:rsid w:val="00AC2A9C"/>
    <w:rsid w:val="00AC3302"/>
    <w:rsid w:val="00AC3EFD"/>
    <w:rsid w:val="00AC6E70"/>
    <w:rsid w:val="00AC72AE"/>
    <w:rsid w:val="00AD20C4"/>
    <w:rsid w:val="00AD3FC7"/>
    <w:rsid w:val="00AD7002"/>
    <w:rsid w:val="00AD72EB"/>
    <w:rsid w:val="00AE02A9"/>
    <w:rsid w:val="00AE104D"/>
    <w:rsid w:val="00AE161C"/>
    <w:rsid w:val="00AE26E6"/>
    <w:rsid w:val="00AE28B0"/>
    <w:rsid w:val="00AE62FB"/>
    <w:rsid w:val="00AE67E5"/>
    <w:rsid w:val="00AE6AD0"/>
    <w:rsid w:val="00AE7399"/>
    <w:rsid w:val="00AF22E0"/>
    <w:rsid w:val="00AF2438"/>
    <w:rsid w:val="00AF32E0"/>
    <w:rsid w:val="00AF3781"/>
    <w:rsid w:val="00AF56AD"/>
    <w:rsid w:val="00AF75B3"/>
    <w:rsid w:val="00B0014A"/>
    <w:rsid w:val="00B03287"/>
    <w:rsid w:val="00B03E43"/>
    <w:rsid w:val="00B0422A"/>
    <w:rsid w:val="00B0488D"/>
    <w:rsid w:val="00B04E1D"/>
    <w:rsid w:val="00B10C6D"/>
    <w:rsid w:val="00B13683"/>
    <w:rsid w:val="00B13CBF"/>
    <w:rsid w:val="00B143E4"/>
    <w:rsid w:val="00B145BA"/>
    <w:rsid w:val="00B1550C"/>
    <w:rsid w:val="00B15648"/>
    <w:rsid w:val="00B16FE1"/>
    <w:rsid w:val="00B17814"/>
    <w:rsid w:val="00B20775"/>
    <w:rsid w:val="00B2088A"/>
    <w:rsid w:val="00B21CF8"/>
    <w:rsid w:val="00B2366B"/>
    <w:rsid w:val="00B23CFA"/>
    <w:rsid w:val="00B24F52"/>
    <w:rsid w:val="00B25729"/>
    <w:rsid w:val="00B25EBD"/>
    <w:rsid w:val="00B2652E"/>
    <w:rsid w:val="00B274E3"/>
    <w:rsid w:val="00B32735"/>
    <w:rsid w:val="00B34D82"/>
    <w:rsid w:val="00B36617"/>
    <w:rsid w:val="00B37B60"/>
    <w:rsid w:val="00B43561"/>
    <w:rsid w:val="00B438A2"/>
    <w:rsid w:val="00B447C1"/>
    <w:rsid w:val="00B469A4"/>
    <w:rsid w:val="00B52597"/>
    <w:rsid w:val="00B5354D"/>
    <w:rsid w:val="00B53FB6"/>
    <w:rsid w:val="00B54AA4"/>
    <w:rsid w:val="00B5678D"/>
    <w:rsid w:val="00B61E76"/>
    <w:rsid w:val="00B622A7"/>
    <w:rsid w:val="00B62BB9"/>
    <w:rsid w:val="00B62C60"/>
    <w:rsid w:val="00B63231"/>
    <w:rsid w:val="00B63EFE"/>
    <w:rsid w:val="00B64A69"/>
    <w:rsid w:val="00B64AE3"/>
    <w:rsid w:val="00B67057"/>
    <w:rsid w:val="00B677B3"/>
    <w:rsid w:val="00B70B47"/>
    <w:rsid w:val="00B7155D"/>
    <w:rsid w:val="00B71B85"/>
    <w:rsid w:val="00B71C5F"/>
    <w:rsid w:val="00B729EF"/>
    <w:rsid w:val="00B72EEC"/>
    <w:rsid w:val="00B73BEF"/>
    <w:rsid w:val="00B752E8"/>
    <w:rsid w:val="00B80E7E"/>
    <w:rsid w:val="00B815B5"/>
    <w:rsid w:val="00B83CDB"/>
    <w:rsid w:val="00B83CEA"/>
    <w:rsid w:val="00B8715D"/>
    <w:rsid w:val="00B87BA7"/>
    <w:rsid w:val="00B87D74"/>
    <w:rsid w:val="00B9168E"/>
    <w:rsid w:val="00B94B9B"/>
    <w:rsid w:val="00B953CD"/>
    <w:rsid w:val="00B955F6"/>
    <w:rsid w:val="00BA02C4"/>
    <w:rsid w:val="00BA06DE"/>
    <w:rsid w:val="00BA0BA5"/>
    <w:rsid w:val="00BA0C30"/>
    <w:rsid w:val="00BA1603"/>
    <w:rsid w:val="00BA2610"/>
    <w:rsid w:val="00BA2A23"/>
    <w:rsid w:val="00BA2C35"/>
    <w:rsid w:val="00BA3392"/>
    <w:rsid w:val="00BA573A"/>
    <w:rsid w:val="00BA5D1B"/>
    <w:rsid w:val="00BA5D96"/>
    <w:rsid w:val="00BA662A"/>
    <w:rsid w:val="00BA6720"/>
    <w:rsid w:val="00BB0C89"/>
    <w:rsid w:val="00BB29A0"/>
    <w:rsid w:val="00BB7E4E"/>
    <w:rsid w:val="00BB7F5E"/>
    <w:rsid w:val="00BC0860"/>
    <w:rsid w:val="00BC0A8E"/>
    <w:rsid w:val="00BC1AEF"/>
    <w:rsid w:val="00BC21FF"/>
    <w:rsid w:val="00BC38C0"/>
    <w:rsid w:val="00BC3CCC"/>
    <w:rsid w:val="00BC429B"/>
    <w:rsid w:val="00BC5767"/>
    <w:rsid w:val="00BC63E9"/>
    <w:rsid w:val="00BD132E"/>
    <w:rsid w:val="00BD2868"/>
    <w:rsid w:val="00BD3828"/>
    <w:rsid w:val="00BD3C3F"/>
    <w:rsid w:val="00BD5CE6"/>
    <w:rsid w:val="00BE0E79"/>
    <w:rsid w:val="00BE1549"/>
    <w:rsid w:val="00BE1689"/>
    <w:rsid w:val="00BE1E3D"/>
    <w:rsid w:val="00BE23C0"/>
    <w:rsid w:val="00BE2553"/>
    <w:rsid w:val="00BE7CEB"/>
    <w:rsid w:val="00BF1130"/>
    <w:rsid w:val="00BF237E"/>
    <w:rsid w:val="00BF252F"/>
    <w:rsid w:val="00BF2DD6"/>
    <w:rsid w:val="00BF2FD3"/>
    <w:rsid w:val="00BF3399"/>
    <w:rsid w:val="00BF3A9B"/>
    <w:rsid w:val="00BF5DB7"/>
    <w:rsid w:val="00C0036B"/>
    <w:rsid w:val="00C02CE0"/>
    <w:rsid w:val="00C035D4"/>
    <w:rsid w:val="00C05CEF"/>
    <w:rsid w:val="00C0668E"/>
    <w:rsid w:val="00C101F6"/>
    <w:rsid w:val="00C11E53"/>
    <w:rsid w:val="00C13DD4"/>
    <w:rsid w:val="00C13FD0"/>
    <w:rsid w:val="00C1445C"/>
    <w:rsid w:val="00C16725"/>
    <w:rsid w:val="00C17655"/>
    <w:rsid w:val="00C2056C"/>
    <w:rsid w:val="00C230B3"/>
    <w:rsid w:val="00C2630F"/>
    <w:rsid w:val="00C26C49"/>
    <w:rsid w:val="00C26CCF"/>
    <w:rsid w:val="00C27D5A"/>
    <w:rsid w:val="00C326C4"/>
    <w:rsid w:val="00C33549"/>
    <w:rsid w:val="00C33C1D"/>
    <w:rsid w:val="00C3482F"/>
    <w:rsid w:val="00C354DD"/>
    <w:rsid w:val="00C37DF1"/>
    <w:rsid w:val="00C43359"/>
    <w:rsid w:val="00C4487C"/>
    <w:rsid w:val="00C45893"/>
    <w:rsid w:val="00C47460"/>
    <w:rsid w:val="00C515A4"/>
    <w:rsid w:val="00C52E70"/>
    <w:rsid w:val="00C54B33"/>
    <w:rsid w:val="00C5780D"/>
    <w:rsid w:val="00C57BB8"/>
    <w:rsid w:val="00C609E4"/>
    <w:rsid w:val="00C64D9E"/>
    <w:rsid w:val="00C654F3"/>
    <w:rsid w:val="00C66085"/>
    <w:rsid w:val="00C66F68"/>
    <w:rsid w:val="00C678BD"/>
    <w:rsid w:val="00C70F52"/>
    <w:rsid w:val="00C719A0"/>
    <w:rsid w:val="00C71DCD"/>
    <w:rsid w:val="00C720A9"/>
    <w:rsid w:val="00C73A75"/>
    <w:rsid w:val="00C75796"/>
    <w:rsid w:val="00C75C88"/>
    <w:rsid w:val="00C76992"/>
    <w:rsid w:val="00C7769A"/>
    <w:rsid w:val="00C77B65"/>
    <w:rsid w:val="00C80213"/>
    <w:rsid w:val="00C80B3B"/>
    <w:rsid w:val="00C81676"/>
    <w:rsid w:val="00C84DC5"/>
    <w:rsid w:val="00C858AB"/>
    <w:rsid w:val="00C864FA"/>
    <w:rsid w:val="00C8757D"/>
    <w:rsid w:val="00C90C44"/>
    <w:rsid w:val="00C9234F"/>
    <w:rsid w:val="00C92C12"/>
    <w:rsid w:val="00C94D63"/>
    <w:rsid w:val="00C95038"/>
    <w:rsid w:val="00C952E9"/>
    <w:rsid w:val="00C957AE"/>
    <w:rsid w:val="00CA0046"/>
    <w:rsid w:val="00CA1B1D"/>
    <w:rsid w:val="00CA30D0"/>
    <w:rsid w:val="00CA4273"/>
    <w:rsid w:val="00CA57EB"/>
    <w:rsid w:val="00CA5E08"/>
    <w:rsid w:val="00CA69DA"/>
    <w:rsid w:val="00CB015E"/>
    <w:rsid w:val="00CB1315"/>
    <w:rsid w:val="00CB1D10"/>
    <w:rsid w:val="00CB27A7"/>
    <w:rsid w:val="00CB289D"/>
    <w:rsid w:val="00CB434F"/>
    <w:rsid w:val="00CB49BC"/>
    <w:rsid w:val="00CB6876"/>
    <w:rsid w:val="00CB6C9A"/>
    <w:rsid w:val="00CB7288"/>
    <w:rsid w:val="00CC1141"/>
    <w:rsid w:val="00CC153D"/>
    <w:rsid w:val="00CC2622"/>
    <w:rsid w:val="00CC2F28"/>
    <w:rsid w:val="00CC307B"/>
    <w:rsid w:val="00CC3F73"/>
    <w:rsid w:val="00CC5012"/>
    <w:rsid w:val="00CC5B22"/>
    <w:rsid w:val="00CC6B05"/>
    <w:rsid w:val="00CD01B4"/>
    <w:rsid w:val="00CD02A5"/>
    <w:rsid w:val="00CD078D"/>
    <w:rsid w:val="00CD1309"/>
    <w:rsid w:val="00CD1584"/>
    <w:rsid w:val="00CD2294"/>
    <w:rsid w:val="00CD5564"/>
    <w:rsid w:val="00CD58F0"/>
    <w:rsid w:val="00CD5923"/>
    <w:rsid w:val="00CE023F"/>
    <w:rsid w:val="00CE0D3A"/>
    <w:rsid w:val="00CE2496"/>
    <w:rsid w:val="00CE274E"/>
    <w:rsid w:val="00CE366D"/>
    <w:rsid w:val="00CE410A"/>
    <w:rsid w:val="00CE6372"/>
    <w:rsid w:val="00CE6A41"/>
    <w:rsid w:val="00CF12F0"/>
    <w:rsid w:val="00CF181E"/>
    <w:rsid w:val="00CF36D7"/>
    <w:rsid w:val="00CF38C8"/>
    <w:rsid w:val="00CF3D7B"/>
    <w:rsid w:val="00CF5A48"/>
    <w:rsid w:val="00CF5D67"/>
    <w:rsid w:val="00CF5FF5"/>
    <w:rsid w:val="00D00C1C"/>
    <w:rsid w:val="00D01A2B"/>
    <w:rsid w:val="00D03064"/>
    <w:rsid w:val="00D044CE"/>
    <w:rsid w:val="00D04E62"/>
    <w:rsid w:val="00D04FAA"/>
    <w:rsid w:val="00D052C7"/>
    <w:rsid w:val="00D062AA"/>
    <w:rsid w:val="00D07FF1"/>
    <w:rsid w:val="00D10AA0"/>
    <w:rsid w:val="00D12110"/>
    <w:rsid w:val="00D1288B"/>
    <w:rsid w:val="00D12AD0"/>
    <w:rsid w:val="00D156BF"/>
    <w:rsid w:val="00D17959"/>
    <w:rsid w:val="00D1796E"/>
    <w:rsid w:val="00D21155"/>
    <w:rsid w:val="00D2152B"/>
    <w:rsid w:val="00D21A0D"/>
    <w:rsid w:val="00D22568"/>
    <w:rsid w:val="00D22628"/>
    <w:rsid w:val="00D23E47"/>
    <w:rsid w:val="00D24C4A"/>
    <w:rsid w:val="00D24E43"/>
    <w:rsid w:val="00D25E80"/>
    <w:rsid w:val="00D30074"/>
    <w:rsid w:val="00D31711"/>
    <w:rsid w:val="00D3266C"/>
    <w:rsid w:val="00D33962"/>
    <w:rsid w:val="00D34E96"/>
    <w:rsid w:val="00D352F6"/>
    <w:rsid w:val="00D35BB3"/>
    <w:rsid w:val="00D36FA1"/>
    <w:rsid w:val="00D370E8"/>
    <w:rsid w:val="00D40E35"/>
    <w:rsid w:val="00D415EF"/>
    <w:rsid w:val="00D41B6E"/>
    <w:rsid w:val="00D42CE9"/>
    <w:rsid w:val="00D46659"/>
    <w:rsid w:val="00D468A7"/>
    <w:rsid w:val="00D469F5"/>
    <w:rsid w:val="00D473C0"/>
    <w:rsid w:val="00D52EF8"/>
    <w:rsid w:val="00D536A7"/>
    <w:rsid w:val="00D55495"/>
    <w:rsid w:val="00D55EF5"/>
    <w:rsid w:val="00D56488"/>
    <w:rsid w:val="00D56943"/>
    <w:rsid w:val="00D60CAA"/>
    <w:rsid w:val="00D640C3"/>
    <w:rsid w:val="00D6426D"/>
    <w:rsid w:val="00D648D1"/>
    <w:rsid w:val="00D65AD1"/>
    <w:rsid w:val="00D67014"/>
    <w:rsid w:val="00D67303"/>
    <w:rsid w:val="00D67B05"/>
    <w:rsid w:val="00D67F6D"/>
    <w:rsid w:val="00D71645"/>
    <w:rsid w:val="00D71830"/>
    <w:rsid w:val="00D729B2"/>
    <w:rsid w:val="00D7500D"/>
    <w:rsid w:val="00D76A8A"/>
    <w:rsid w:val="00D77C25"/>
    <w:rsid w:val="00D80100"/>
    <w:rsid w:val="00D8116D"/>
    <w:rsid w:val="00D81A1B"/>
    <w:rsid w:val="00D82045"/>
    <w:rsid w:val="00D82229"/>
    <w:rsid w:val="00D827AE"/>
    <w:rsid w:val="00D8324F"/>
    <w:rsid w:val="00D8437A"/>
    <w:rsid w:val="00D87345"/>
    <w:rsid w:val="00D87E81"/>
    <w:rsid w:val="00D92354"/>
    <w:rsid w:val="00D92463"/>
    <w:rsid w:val="00D94C8C"/>
    <w:rsid w:val="00D952AA"/>
    <w:rsid w:val="00D95B75"/>
    <w:rsid w:val="00D97513"/>
    <w:rsid w:val="00D9765C"/>
    <w:rsid w:val="00D97C77"/>
    <w:rsid w:val="00DA06D2"/>
    <w:rsid w:val="00DA2A0F"/>
    <w:rsid w:val="00DA307C"/>
    <w:rsid w:val="00DA3478"/>
    <w:rsid w:val="00DA65FD"/>
    <w:rsid w:val="00DA6D65"/>
    <w:rsid w:val="00DA726B"/>
    <w:rsid w:val="00DB1B9F"/>
    <w:rsid w:val="00DB4283"/>
    <w:rsid w:val="00DB640C"/>
    <w:rsid w:val="00DB6C1F"/>
    <w:rsid w:val="00DC0B08"/>
    <w:rsid w:val="00DC132F"/>
    <w:rsid w:val="00DC3A0F"/>
    <w:rsid w:val="00DC5CF9"/>
    <w:rsid w:val="00DC7A94"/>
    <w:rsid w:val="00DC7EFB"/>
    <w:rsid w:val="00DD0076"/>
    <w:rsid w:val="00DD0AA1"/>
    <w:rsid w:val="00DD2633"/>
    <w:rsid w:val="00DD2A8E"/>
    <w:rsid w:val="00DD3AB7"/>
    <w:rsid w:val="00DD4E1F"/>
    <w:rsid w:val="00DD6968"/>
    <w:rsid w:val="00DD6FD6"/>
    <w:rsid w:val="00DE17E4"/>
    <w:rsid w:val="00DE2173"/>
    <w:rsid w:val="00DE30D7"/>
    <w:rsid w:val="00DE3FB4"/>
    <w:rsid w:val="00DE5B86"/>
    <w:rsid w:val="00DE658E"/>
    <w:rsid w:val="00DE6E2D"/>
    <w:rsid w:val="00DF3C7C"/>
    <w:rsid w:val="00DF56B6"/>
    <w:rsid w:val="00DF57FE"/>
    <w:rsid w:val="00DF6557"/>
    <w:rsid w:val="00E0032F"/>
    <w:rsid w:val="00E006E3"/>
    <w:rsid w:val="00E00D6F"/>
    <w:rsid w:val="00E0182B"/>
    <w:rsid w:val="00E02E1D"/>
    <w:rsid w:val="00E03AA4"/>
    <w:rsid w:val="00E05254"/>
    <w:rsid w:val="00E066B7"/>
    <w:rsid w:val="00E0706E"/>
    <w:rsid w:val="00E11CFF"/>
    <w:rsid w:val="00E127FA"/>
    <w:rsid w:val="00E137C3"/>
    <w:rsid w:val="00E138F2"/>
    <w:rsid w:val="00E13C8E"/>
    <w:rsid w:val="00E15A49"/>
    <w:rsid w:val="00E15EE0"/>
    <w:rsid w:val="00E16611"/>
    <w:rsid w:val="00E17C59"/>
    <w:rsid w:val="00E22713"/>
    <w:rsid w:val="00E22AB6"/>
    <w:rsid w:val="00E2394B"/>
    <w:rsid w:val="00E269AA"/>
    <w:rsid w:val="00E26A24"/>
    <w:rsid w:val="00E31773"/>
    <w:rsid w:val="00E31955"/>
    <w:rsid w:val="00E3207E"/>
    <w:rsid w:val="00E3235B"/>
    <w:rsid w:val="00E32F66"/>
    <w:rsid w:val="00E34A0A"/>
    <w:rsid w:val="00E363E0"/>
    <w:rsid w:val="00E3646F"/>
    <w:rsid w:val="00E369A2"/>
    <w:rsid w:val="00E40229"/>
    <w:rsid w:val="00E40574"/>
    <w:rsid w:val="00E4106A"/>
    <w:rsid w:val="00E42E3F"/>
    <w:rsid w:val="00E44FA2"/>
    <w:rsid w:val="00E46E87"/>
    <w:rsid w:val="00E51566"/>
    <w:rsid w:val="00E51E31"/>
    <w:rsid w:val="00E523AA"/>
    <w:rsid w:val="00E53F0F"/>
    <w:rsid w:val="00E54143"/>
    <w:rsid w:val="00E5519C"/>
    <w:rsid w:val="00E56D88"/>
    <w:rsid w:val="00E5729E"/>
    <w:rsid w:val="00E57732"/>
    <w:rsid w:val="00E629B0"/>
    <w:rsid w:val="00E629C2"/>
    <w:rsid w:val="00E6339F"/>
    <w:rsid w:val="00E64D19"/>
    <w:rsid w:val="00E64F05"/>
    <w:rsid w:val="00E65771"/>
    <w:rsid w:val="00E6726E"/>
    <w:rsid w:val="00E739D3"/>
    <w:rsid w:val="00E74641"/>
    <w:rsid w:val="00E7754C"/>
    <w:rsid w:val="00E80A49"/>
    <w:rsid w:val="00E85F02"/>
    <w:rsid w:val="00E863E4"/>
    <w:rsid w:val="00E86FD6"/>
    <w:rsid w:val="00E8706E"/>
    <w:rsid w:val="00E874EE"/>
    <w:rsid w:val="00E87E80"/>
    <w:rsid w:val="00E9013F"/>
    <w:rsid w:val="00E90266"/>
    <w:rsid w:val="00E9227B"/>
    <w:rsid w:val="00E94CFB"/>
    <w:rsid w:val="00E954F7"/>
    <w:rsid w:val="00E96018"/>
    <w:rsid w:val="00EA2309"/>
    <w:rsid w:val="00EA3C0C"/>
    <w:rsid w:val="00EA44B5"/>
    <w:rsid w:val="00EA4FD4"/>
    <w:rsid w:val="00EA5966"/>
    <w:rsid w:val="00EA60E3"/>
    <w:rsid w:val="00EA6C4D"/>
    <w:rsid w:val="00EA6C60"/>
    <w:rsid w:val="00EB01BE"/>
    <w:rsid w:val="00EB155B"/>
    <w:rsid w:val="00EB1587"/>
    <w:rsid w:val="00EB3360"/>
    <w:rsid w:val="00EB608C"/>
    <w:rsid w:val="00EB6122"/>
    <w:rsid w:val="00EB77EF"/>
    <w:rsid w:val="00EB7E2F"/>
    <w:rsid w:val="00EC0D86"/>
    <w:rsid w:val="00EC20F1"/>
    <w:rsid w:val="00EC2C4D"/>
    <w:rsid w:val="00EC3783"/>
    <w:rsid w:val="00EC3F42"/>
    <w:rsid w:val="00EC3F72"/>
    <w:rsid w:val="00EC4F77"/>
    <w:rsid w:val="00EC5FA5"/>
    <w:rsid w:val="00EC62D0"/>
    <w:rsid w:val="00EC6D67"/>
    <w:rsid w:val="00ED17D9"/>
    <w:rsid w:val="00ED3814"/>
    <w:rsid w:val="00ED3DFF"/>
    <w:rsid w:val="00ED59ED"/>
    <w:rsid w:val="00ED69EA"/>
    <w:rsid w:val="00ED7ECE"/>
    <w:rsid w:val="00EE23E1"/>
    <w:rsid w:val="00EE2639"/>
    <w:rsid w:val="00EE3696"/>
    <w:rsid w:val="00EE475B"/>
    <w:rsid w:val="00EE4DAC"/>
    <w:rsid w:val="00EE65FC"/>
    <w:rsid w:val="00EF03DF"/>
    <w:rsid w:val="00EF1184"/>
    <w:rsid w:val="00EF12B4"/>
    <w:rsid w:val="00EF26CF"/>
    <w:rsid w:val="00EF271B"/>
    <w:rsid w:val="00EF31A2"/>
    <w:rsid w:val="00EF7276"/>
    <w:rsid w:val="00F0067F"/>
    <w:rsid w:val="00F0283E"/>
    <w:rsid w:val="00F02A1B"/>
    <w:rsid w:val="00F0360C"/>
    <w:rsid w:val="00F03659"/>
    <w:rsid w:val="00F0453C"/>
    <w:rsid w:val="00F04620"/>
    <w:rsid w:val="00F0472E"/>
    <w:rsid w:val="00F06FFE"/>
    <w:rsid w:val="00F101D1"/>
    <w:rsid w:val="00F112CE"/>
    <w:rsid w:val="00F11B3F"/>
    <w:rsid w:val="00F14435"/>
    <w:rsid w:val="00F14DDC"/>
    <w:rsid w:val="00F1566D"/>
    <w:rsid w:val="00F200D1"/>
    <w:rsid w:val="00F2127A"/>
    <w:rsid w:val="00F2289B"/>
    <w:rsid w:val="00F245F3"/>
    <w:rsid w:val="00F273E4"/>
    <w:rsid w:val="00F31344"/>
    <w:rsid w:val="00F31529"/>
    <w:rsid w:val="00F32226"/>
    <w:rsid w:val="00F32AFB"/>
    <w:rsid w:val="00F349A4"/>
    <w:rsid w:val="00F40017"/>
    <w:rsid w:val="00F40354"/>
    <w:rsid w:val="00F40436"/>
    <w:rsid w:val="00F41A6C"/>
    <w:rsid w:val="00F42051"/>
    <w:rsid w:val="00F42D03"/>
    <w:rsid w:val="00F4462C"/>
    <w:rsid w:val="00F44B2B"/>
    <w:rsid w:val="00F466A8"/>
    <w:rsid w:val="00F47051"/>
    <w:rsid w:val="00F502CB"/>
    <w:rsid w:val="00F5088A"/>
    <w:rsid w:val="00F51DB8"/>
    <w:rsid w:val="00F52B42"/>
    <w:rsid w:val="00F52C78"/>
    <w:rsid w:val="00F53A4F"/>
    <w:rsid w:val="00F545E6"/>
    <w:rsid w:val="00F54911"/>
    <w:rsid w:val="00F554D3"/>
    <w:rsid w:val="00F55625"/>
    <w:rsid w:val="00F56785"/>
    <w:rsid w:val="00F56E7C"/>
    <w:rsid w:val="00F57758"/>
    <w:rsid w:val="00F6085E"/>
    <w:rsid w:val="00F62CD7"/>
    <w:rsid w:val="00F64027"/>
    <w:rsid w:val="00F6528A"/>
    <w:rsid w:val="00F656D0"/>
    <w:rsid w:val="00F67930"/>
    <w:rsid w:val="00F7011A"/>
    <w:rsid w:val="00F70318"/>
    <w:rsid w:val="00F70759"/>
    <w:rsid w:val="00F70E40"/>
    <w:rsid w:val="00F71B36"/>
    <w:rsid w:val="00F736B7"/>
    <w:rsid w:val="00F73AEE"/>
    <w:rsid w:val="00F75071"/>
    <w:rsid w:val="00F778D3"/>
    <w:rsid w:val="00F82617"/>
    <w:rsid w:val="00F82B29"/>
    <w:rsid w:val="00F83881"/>
    <w:rsid w:val="00F851F0"/>
    <w:rsid w:val="00F8612F"/>
    <w:rsid w:val="00F8784A"/>
    <w:rsid w:val="00F87A6D"/>
    <w:rsid w:val="00F904DE"/>
    <w:rsid w:val="00F909FE"/>
    <w:rsid w:val="00F90CA3"/>
    <w:rsid w:val="00F9166D"/>
    <w:rsid w:val="00F9169A"/>
    <w:rsid w:val="00F92111"/>
    <w:rsid w:val="00F96027"/>
    <w:rsid w:val="00F965DF"/>
    <w:rsid w:val="00F96692"/>
    <w:rsid w:val="00F966B0"/>
    <w:rsid w:val="00F96B65"/>
    <w:rsid w:val="00FA02A3"/>
    <w:rsid w:val="00FA1D3D"/>
    <w:rsid w:val="00FA2667"/>
    <w:rsid w:val="00FA62C5"/>
    <w:rsid w:val="00FA6A1D"/>
    <w:rsid w:val="00FA7272"/>
    <w:rsid w:val="00FA7BF7"/>
    <w:rsid w:val="00FB108E"/>
    <w:rsid w:val="00FB1211"/>
    <w:rsid w:val="00FB1504"/>
    <w:rsid w:val="00FB15CB"/>
    <w:rsid w:val="00FB21D2"/>
    <w:rsid w:val="00FB3BEB"/>
    <w:rsid w:val="00FB3DA9"/>
    <w:rsid w:val="00FB63DB"/>
    <w:rsid w:val="00FB7B66"/>
    <w:rsid w:val="00FC0AB7"/>
    <w:rsid w:val="00FC1155"/>
    <w:rsid w:val="00FC1527"/>
    <w:rsid w:val="00FC296D"/>
    <w:rsid w:val="00FC31C0"/>
    <w:rsid w:val="00FC3537"/>
    <w:rsid w:val="00FC3B2E"/>
    <w:rsid w:val="00FC3EF9"/>
    <w:rsid w:val="00FC4E83"/>
    <w:rsid w:val="00FC5185"/>
    <w:rsid w:val="00FC53FC"/>
    <w:rsid w:val="00FC63E8"/>
    <w:rsid w:val="00FC6C13"/>
    <w:rsid w:val="00FD0A4E"/>
    <w:rsid w:val="00FD0DBE"/>
    <w:rsid w:val="00FD1E35"/>
    <w:rsid w:val="00FD3146"/>
    <w:rsid w:val="00FD405C"/>
    <w:rsid w:val="00FD44DB"/>
    <w:rsid w:val="00FD5632"/>
    <w:rsid w:val="00FD6386"/>
    <w:rsid w:val="00FD6E57"/>
    <w:rsid w:val="00FD6FC1"/>
    <w:rsid w:val="00FE097F"/>
    <w:rsid w:val="00FE33C8"/>
    <w:rsid w:val="00FE55BF"/>
    <w:rsid w:val="00FE5887"/>
    <w:rsid w:val="00FE68F8"/>
    <w:rsid w:val="00FE6999"/>
    <w:rsid w:val="00FF0FAB"/>
    <w:rsid w:val="00FF36A2"/>
    <w:rsid w:val="00FF36FD"/>
    <w:rsid w:val="00FF68DA"/>
    <w:rsid w:val="00FF7082"/>
    <w:rsid w:val="00FF7FD2"/>
    <w:rsid w:val="01714809"/>
    <w:rsid w:val="01B7611B"/>
    <w:rsid w:val="01D7218F"/>
    <w:rsid w:val="02785FC2"/>
    <w:rsid w:val="02B1302C"/>
    <w:rsid w:val="02BA1EF1"/>
    <w:rsid w:val="02C51960"/>
    <w:rsid w:val="033508C0"/>
    <w:rsid w:val="03AF6A76"/>
    <w:rsid w:val="041D6970"/>
    <w:rsid w:val="045E5F50"/>
    <w:rsid w:val="0498229F"/>
    <w:rsid w:val="058061BE"/>
    <w:rsid w:val="061C6608"/>
    <w:rsid w:val="063F4ED6"/>
    <w:rsid w:val="06C4362D"/>
    <w:rsid w:val="07062348"/>
    <w:rsid w:val="0728031E"/>
    <w:rsid w:val="075922E8"/>
    <w:rsid w:val="079D4E7C"/>
    <w:rsid w:val="07CD0123"/>
    <w:rsid w:val="080E6676"/>
    <w:rsid w:val="08743511"/>
    <w:rsid w:val="08901A19"/>
    <w:rsid w:val="08B96826"/>
    <w:rsid w:val="08E25F00"/>
    <w:rsid w:val="09127D5C"/>
    <w:rsid w:val="0A37446D"/>
    <w:rsid w:val="0A946C88"/>
    <w:rsid w:val="0A964268"/>
    <w:rsid w:val="0A9B62E3"/>
    <w:rsid w:val="0AA42F62"/>
    <w:rsid w:val="0AF16A15"/>
    <w:rsid w:val="0B084AA9"/>
    <w:rsid w:val="0B416FFB"/>
    <w:rsid w:val="0B8603E0"/>
    <w:rsid w:val="0BCD7A5D"/>
    <w:rsid w:val="0C0F3D18"/>
    <w:rsid w:val="0C0F616A"/>
    <w:rsid w:val="0C59767E"/>
    <w:rsid w:val="0C8A1BF4"/>
    <w:rsid w:val="0D5E6A0A"/>
    <w:rsid w:val="0D730CAF"/>
    <w:rsid w:val="0DA73D90"/>
    <w:rsid w:val="0DA90E87"/>
    <w:rsid w:val="0EF640CA"/>
    <w:rsid w:val="0F7F00F1"/>
    <w:rsid w:val="0FE84085"/>
    <w:rsid w:val="106E69D6"/>
    <w:rsid w:val="10E81070"/>
    <w:rsid w:val="11307256"/>
    <w:rsid w:val="11BA3CB2"/>
    <w:rsid w:val="11DC149F"/>
    <w:rsid w:val="129E64FC"/>
    <w:rsid w:val="13436245"/>
    <w:rsid w:val="136333C5"/>
    <w:rsid w:val="14893727"/>
    <w:rsid w:val="14E87F23"/>
    <w:rsid w:val="1536143F"/>
    <w:rsid w:val="168555E1"/>
    <w:rsid w:val="17B85D82"/>
    <w:rsid w:val="189A2440"/>
    <w:rsid w:val="18AE5CF5"/>
    <w:rsid w:val="196E5F3F"/>
    <w:rsid w:val="19EE17C2"/>
    <w:rsid w:val="1A7D1CB4"/>
    <w:rsid w:val="1AB20E71"/>
    <w:rsid w:val="1AD52B56"/>
    <w:rsid w:val="1AE51725"/>
    <w:rsid w:val="1BAC1EC4"/>
    <w:rsid w:val="1CB92BD4"/>
    <w:rsid w:val="1D3C72BB"/>
    <w:rsid w:val="1D446FDD"/>
    <w:rsid w:val="1DAF647B"/>
    <w:rsid w:val="1DC419F5"/>
    <w:rsid w:val="1DD91DE8"/>
    <w:rsid w:val="1E1265D5"/>
    <w:rsid w:val="1E7F010E"/>
    <w:rsid w:val="1EB97F40"/>
    <w:rsid w:val="1F071AE6"/>
    <w:rsid w:val="1F37632E"/>
    <w:rsid w:val="1FE55C14"/>
    <w:rsid w:val="201A64BE"/>
    <w:rsid w:val="20641030"/>
    <w:rsid w:val="20B55160"/>
    <w:rsid w:val="20BA08C7"/>
    <w:rsid w:val="21263600"/>
    <w:rsid w:val="221E7C3E"/>
    <w:rsid w:val="22F8296D"/>
    <w:rsid w:val="23401520"/>
    <w:rsid w:val="234207E5"/>
    <w:rsid w:val="23E329F8"/>
    <w:rsid w:val="240A55D5"/>
    <w:rsid w:val="246E47BA"/>
    <w:rsid w:val="249A6D9A"/>
    <w:rsid w:val="24C52163"/>
    <w:rsid w:val="25332F96"/>
    <w:rsid w:val="25623605"/>
    <w:rsid w:val="259707C5"/>
    <w:rsid w:val="25A714F2"/>
    <w:rsid w:val="25C64D60"/>
    <w:rsid w:val="262139D6"/>
    <w:rsid w:val="26AA7CF2"/>
    <w:rsid w:val="27495A23"/>
    <w:rsid w:val="28901CB0"/>
    <w:rsid w:val="28B364E1"/>
    <w:rsid w:val="28B9246E"/>
    <w:rsid w:val="28F26F1D"/>
    <w:rsid w:val="294361DC"/>
    <w:rsid w:val="29486D48"/>
    <w:rsid w:val="2A0B267E"/>
    <w:rsid w:val="2A0E2139"/>
    <w:rsid w:val="2A0F541F"/>
    <w:rsid w:val="2B54022C"/>
    <w:rsid w:val="2B970B1E"/>
    <w:rsid w:val="2BD033B6"/>
    <w:rsid w:val="2C087541"/>
    <w:rsid w:val="2C726454"/>
    <w:rsid w:val="2C901FA7"/>
    <w:rsid w:val="2CA2387B"/>
    <w:rsid w:val="2CE83322"/>
    <w:rsid w:val="2D574004"/>
    <w:rsid w:val="2DAE2509"/>
    <w:rsid w:val="2DDB5291"/>
    <w:rsid w:val="2E9D013C"/>
    <w:rsid w:val="2EBB33EB"/>
    <w:rsid w:val="30062758"/>
    <w:rsid w:val="30895B3C"/>
    <w:rsid w:val="310C4FBE"/>
    <w:rsid w:val="31811153"/>
    <w:rsid w:val="31AF3D3F"/>
    <w:rsid w:val="32056724"/>
    <w:rsid w:val="32313075"/>
    <w:rsid w:val="32A221C5"/>
    <w:rsid w:val="32FF5561"/>
    <w:rsid w:val="330B38C7"/>
    <w:rsid w:val="33664DBB"/>
    <w:rsid w:val="337B0E24"/>
    <w:rsid w:val="33C5616B"/>
    <w:rsid w:val="342F1837"/>
    <w:rsid w:val="3483497B"/>
    <w:rsid w:val="355333BB"/>
    <w:rsid w:val="35BB565F"/>
    <w:rsid w:val="35EE4490"/>
    <w:rsid w:val="35F43F06"/>
    <w:rsid w:val="362E26F6"/>
    <w:rsid w:val="363E4EDB"/>
    <w:rsid w:val="3685477D"/>
    <w:rsid w:val="37325D3F"/>
    <w:rsid w:val="37552EFE"/>
    <w:rsid w:val="377759CE"/>
    <w:rsid w:val="37CD540D"/>
    <w:rsid w:val="37E13AF6"/>
    <w:rsid w:val="388D4D7E"/>
    <w:rsid w:val="3891486E"/>
    <w:rsid w:val="3A122372"/>
    <w:rsid w:val="3A1A13E4"/>
    <w:rsid w:val="3A8C3769"/>
    <w:rsid w:val="3A9C053F"/>
    <w:rsid w:val="3ABF609C"/>
    <w:rsid w:val="3C3A6FCB"/>
    <w:rsid w:val="3C3B5826"/>
    <w:rsid w:val="3C664BFC"/>
    <w:rsid w:val="3D4B6F7A"/>
    <w:rsid w:val="3D5B18EE"/>
    <w:rsid w:val="3DC9299B"/>
    <w:rsid w:val="3DD11893"/>
    <w:rsid w:val="3DE940B0"/>
    <w:rsid w:val="3DF15A33"/>
    <w:rsid w:val="3E374B73"/>
    <w:rsid w:val="3E563EF6"/>
    <w:rsid w:val="3F1D39BD"/>
    <w:rsid w:val="3F6632A5"/>
    <w:rsid w:val="3F71550E"/>
    <w:rsid w:val="3F8C2233"/>
    <w:rsid w:val="3FC01988"/>
    <w:rsid w:val="3FCC7628"/>
    <w:rsid w:val="4034547C"/>
    <w:rsid w:val="4070745F"/>
    <w:rsid w:val="409F40DB"/>
    <w:rsid w:val="41D511D7"/>
    <w:rsid w:val="428C60A6"/>
    <w:rsid w:val="42990EE1"/>
    <w:rsid w:val="433F7CB8"/>
    <w:rsid w:val="440A1318"/>
    <w:rsid w:val="440F7D78"/>
    <w:rsid w:val="44C63AF1"/>
    <w:rsid w:val="4550160D"/>
    <w:rsid w:val="45774DEB"/>
    <w:rsid w:val="45941E41"/>
    <w:rsid w:val="45EB778E"/>
    <w:rsid w:val="4670640B"/>
    <w:rsid w:val="468C09F9"/>
    <w:rsid w:val="4739367F"/>
    <w:rsid w:val="479A532E"/>
    <w:rsid w:val="48624CD3"/>
    <w:rsid w:val="48707B23"/>
    <w:rsid w:val="494B6D85"/>
    <w:rsid w:val="494F64CA"/>
    <w:rsid w:val="49834A60"/>
    <w:rsid w:val="49C441E4"/>
    <w:rsid w:val="49C600F0"/>
    <w:rsid w:val="49DE7A28"/>
    <w:rsid w:val="49F107DC"/>
    <w:rsid w:val="4A4E2254"/>
    <w:rsid w:val="4A812CFE"/>
    <w:rsid w:val="4B4366F3"/>
    <w:rsid w:val="4B982449"/>
    <w:rsid w:val="4BB021EB"/>
    <w:rsid w:val="4C5D414F"/>
    <w:rsid w:val="4C786019"/>
    <w:rsid w:val="4CA31B50"/>
    <w:rsid w:val="4D0E072B"/>
    <w:rsid w:val="4D3E1587"/>
    <w:rsid w:val="4D7541F4"/>
    <w:rsid w:val="4D9D385D"/>
    <w:rsid w:val="4E613EED"/>
    <w:rsid w:val="4E6B74B7"/>
    <w:rsid w:val="4F04106C"/>
    <w:rsid w:val="4F543D7D"/>
    <w:rsid w:val="4FDE4134"/>
    <w:rsid w:val="505D4B43"/>
    <w:rsid w:val="50612555"/>
    <w:rsid w:val="508328CE"/>
    <w:rsid w:val="508D7BB9"/>
    <w:rsid w:val="50AB0E82"/>
    <w:rsid w:val="513242BC"/>
    <w:rsid w:val="51724EC5"/>
    <w:rsid w:val="51985452"/>
    <w:rsid w:val="519F1952"/>
    <w:rsid w:val="51B34883"/>
    <w:rsid w:val="52360F4D"/>
    <w:rsid w:val="52E511F0"/>
    <w:rsid w:val="5328051C"/>
    <w:rsid w:val="53C51418"/>
    <w:rsid w:val="53C945FB"/>
    <w:rsid w:val="54333971"/>
    <w:rsid w:val="547D3E51"/>
    <w:rsid w:val="54D87924"/>
    <w:rsid w:val="54E80B69"/>
    <w:rsid w:val="554944DE"/>
    <w:rsid w:val="56C41E5B"/>
    <w:rsid w:val="56CB222A"/>
    <w:rsid w:val="56D97F70"/>
    <w:rsid w:val="58825446"/>
    <w:rsid w:val="58BB59CC"/>
    <w:rsid w:val="58CA2D8F"/>
    <w:rsid w:val="58EE31FB"/>
    <w:rsid w:val="59E8051A"/>
    <w:rsid w:val="5A113C01"/>
    <w:rsid w:val="5A3B477C"/>
    <w:rsid w:val="5AF251E8"/>
    <w:rsid w:val="5B4D0451"/>
    <w:rsid w:val="5BCE71FB"/>
    <w:rsid w:val="5C2434DA"/>
    <w:rsid w:val="5C4D3844"/>
    <w:rsid w:val="5D9E565D"/>
    <w:rsid w:val="5E2E19DF"/>
    <w:rsid w:val="5EA34699"/>
    <w:rsid w:val="5FF67C26"/>
    <w:rsid w:val="60515BA0"/>
    <w:rsid w:val="60640360"/>
    <w:rsid w:val="608551E4"/>
    <w:rsid w:val="613B2154"/>
    <w:rsid w:val="61715A53"/>
    <w:rsid w:val="618A6458"/>
    <w:rsid w:val="61DB6C97"/>
    <w:rsid w:val="624C78D4"/>
    <w:rsid w:val="62D753B0"/>
    <w:rsid w:val="62E63110"/>
    <w:rsid w:val="62FB4E56"/>
    <w:rsid w:val="63C07F33"/>
    <w:rsid w:val="6481171F"/>
    <w:rsid w:val="6481181A"/>
    <w:rsid w:val="64B96561"/>
    <w:rsid w:val="64D468AD"/>
    <w:rsid w:val="654356C4"/>
    <w:rsid w:val="659D5CFD"/>
    <w:rsid w:val="65F92850"/>
    <w:rsid w:val="660B1546"/>
    <w:rsid w:val="6615324D"/>
    <w:rsid w:val="662858EC"/>
    <w:rsid w:val="665151C5"/>
    <w:rsid w:val="66B51FD8"/>
    <w:rsid w:val="675E7762"/>
    <w:rsid w:val="67A819D2"/>
    <w:rsid w:val="67C70996"/>
    <w:rsid w:val="67F15358"/>
    <w:rsid w:val="68130B9F"/>
    <w:rsid w:val="6832339A"/>
    <w:rsid w:val="683462BF"/>
    <w:rsid w:val="68C04CB9"/>
    <w:rsid w:val="68EC3B7E"/>
    <w:rsid w:val="693C04A5"/>
    <w:rsid w:val="6A0445F0"/>
    <w:rsid w:val="6AEB3A02"/>
    <w:rsid w:val="6AFE3735"/>
    <w:rsid w:val="6B4A317A"/>
    <w:rsid w:val="6B714642"/>
    <w:rsid w:val="6C223454"/>
    <w:rsid w:val="6C6C78D6"/>
    <w:rsid w:val="6C9500C9"/>
    <w:rsid w:val="6C9A689E"/>
    <w:rsid w:val="6D9B1269"/>
    <w:rsid w:val="6E414065"/>
    <w:rsid w:val="6E737949"/>
    <w:rsid w:val="6F201526"/>
    <w:rsid w:val="6F4B5096"/>
    <w:rsid w:val="6F961B22"/>
    <w:rsid w:val="6F9E3748"/>
    <w:rsid w:val="70160D5E"/>
    <w:rsid w:val="701C3DDE"/>
    <w:rsid w:val="71536AB4"/>
    <w:rsid w:val="715D11DE"/>
    <w:rsid w:val="72467A9B"/>
    <w:rsid w:val="728C6382"/>
    <w:rsid w:val="731E4248"/>
    <w:rsid w:val="738B19DE"/>
    <w:rsid w:val="73DA0802"/>
    <w:rsid w:val="741937F7"/>
    <w:rsid w:val="74FF07D6"/>
    <w:rsid w:val="75012CFD"/>
    <w:rsid w:val="762D1373"/>
    <w:rsid w:val="766758F4"/>
    <w:rsid w:val="76973DFC"/>
    <w:rsid w:val="76B55D99"/>
    <w:rsid w:val="770551D1"/>
    <w:rsid w:val="7731279D"/>
    <w:rsid w:val="77420E4E"/>
    <w:rsid w:val="77F547D4"/>
    <w:rsid w:val="78241430"/>
    <w:rsid w:val="78D51E85"/>
    <w:rsid w:val="799A7EFC"/>
    <w:rsid w:val="79DF1B68"/>
    <w:rsid w:val="7A3F219B"/>
    <w:rsid w:val="7A8154A8"/>
    <w:rsid w:val="7AD65B35"/>
    <w:rsid w:val="7BF618D5"/>
    <w:rsid w:val="7BF74D02"/>
    <w:rsid w:val="7D121F07"/>
    <w:rsid w:val="7DF45E48"/>
    <w:rsid w:val="7E910E77"/>
    <w:rsid w:val="7E9271C8"/>
    <w:rsid w:val="7EA67CE1"/>
    <w:rsid w:val="7ED674D6"/>
    <w:rsid w:val="7F300550"/>
    <w:rsid w:val="DFFB53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qFormat="1" w:uiPriority="99" w:name="HTML Sample"/>
    <w:lsdException w:uiPriority="99" w:name="HTML Typewriter"/>
    <w:lsdException w:qFormat="1"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53"/>
    <w:qFormat/>
    <w:uiPriority w:val="0"/>
    <w:pPr>
      <w:keepNext/>
      <w:keepLines/>
      <w:numPr>
        <w:ilvl w:val="0"/>
        <w:numId w:val="1"/>
      </w:numPr>
      <w:snapToGrid w:val="0"/>
      <w:spacing w:line="400" w:lineRule="atLeast"/>
      <w:outlineLvl w:val="0"/>
    </w:pPr>
    <w:rPr>
      <w:rFonts w:ascii="宋体" w:eastAsia="黑体"/>
      <w:kern w:val="28"/>
      <w:sz w:val="28"/>
      <w:szCs w:val="20"/>
    </w:rPr>
  </w:style>
  <w:style w:type="paragraph" w:styleId="3">
    <w:name w:val="heading 2"/>
    <w:basedOn w:val="1"/>
    <w:next w:val="1"/>
    <w:link w:val="86"/>
    <w:qFormat/>
    <w:uiPriority w:val="0"/>
    <w:pPr>
      <w:numPr>
        <w:ilvl w:val="1"/>
        <w:numId w:val="1"/>
      </w:numPr>
      <w:tabs>
        <w:tab w:val="left" w:pos="425"/>
      </w:tabs>
      <w:snapToGrid w:val="0"/>
      <w:spacing w:line="360" w:lineRule="auto"/>
      <w:outlineLvl w:val="1"/>
    </w:pPr>
    <w:rPr>
      <w:rFonts w:ascii="宋体"/>
      <w:sz w:val="28"/>
      <w:szCs w:val="20"/>
    </w:rPr>
  </w:style>
  <w:style w:type="paragraph" w:styleId="4">
    <w:name w:val="heading 3"/>
    <w:basedOn w:val="1"/>
    <w:next w:val="5"/>
    <w:link w:val="87"/>
    <w:qFormat/>
    <w:uiPriority w:val="0"/>
    <w:pPr>
      <w:tabs>
        <w:tab w:val="left" w:pos="709"/>
        <w:tab w:val="left" w:pos="720"/>
      </w:tabs>
      <w:outlineLvl w:val="2"/>
    </w:pPr>
  </w:style>
  <w:style w:type="paragraph" w:styleId="6">
    <w:name w:val="heading 4"/>
    <w:basedOn w:val="1"/>
    <w:next w:val="1"/>
    <w:link w:val="81"/>
    <w:qFormat/>
    <w:uiPriority w:val="0"/>
    <w:pPr>
      <w:keepNext/>
      <w:keepLines/>
      <w:spacing w:before="280" w:after="290" w:line="376" w:lineRule="auto"/>
      <w:outlineLvl w:val="3"/>
    </w:pPr>
    <w:rPr>
      <w:rFonts w:ascii="Calibri Light" w:hAnsi="Calibri Light"/>
      <w:b/>
      <w:bCs/>
      <w:kern w:val="0"/>
      <w:sz w:val="28"/>
      <w:szCs w:val="28"/>
    </w:rPr>
  </w:style>
  <w:style w:type="paragraph" w:styleId="7">
    <w:name w:val="heading 5"/>
    <w:basedOn w:val="1"/>
    <w:next w:val="1"/>
    <w:link w:val="93"/>
    <w:qFormat/>
    <w:uiPriority w:val="0"/>
    <w:pPr>
      <w:keepNext/>
      <w:keepLines/>
      <w:spacing w:before="280" w:after="290" w:line="376" w:lineRule="auto"/>
      <w:outlineLvl w:val="4"/>
    </w:pPr>
    <w:rPr>
      <w:b/>
      <w:bCs/>
      <w:kern w:val="0"/>
      <w:sz w:val="28"/>
      <w:szCs w:val="28"/>
    </w:rPr>
  </w:style>
  <w:style w:type="paragraph" w:styleId="8">
    <w:name w:val="heading 6"/>
    <w:basedOn w:val="1"/>
    <w:next w:val="1"/>
    <w:link w:val="79"/>
    <w:qFormat/>
    <w:uiPriority w:val="0"/>
    <w:pPr>
      <w:keepNext/>
      <w:keepLines/>
      <w:spacing w:before="240" w:after="64" w:line="320" w:lineRule="auto"/>
      <w:outlineLvl w:val="5"/>
    </w:pPr>
    <w:rPr>
      <w:rFonts w:ascii="Calibri Light" w:hAnsi="Calibri Light"/>
      <w:b/>
      <w:bCs/>
      <w:kern w:val="0"/>
      <w:sz w:val="24"/>
    </w:rPr>
  </w:style>
  <w:style w:type="paragraph" w:styleId="9">
    <w:name w:val="heading 7"/>
    <w:basedOn w:val="1"/>
    <w:next w:val="1"/>
    <w:link w:val="65"/>
    <w:qFormat/>
    <w:uiPriority w:val="9"/>
    <w:pPr>
      <w:keepNext/>
      <w:keepLines/>
      <w:spacing w:before="240" w:after="64" w:line="320" w:lineRule="auto"/>
      <w:outlineLvl w:val="6"/>
    </w:pPr>
    <w:rPr>
      <w:b/>
      <w:bCs/>
      <w:sz w:val="24"/>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10">
    <w:name w:val="Document Map"/>
    <w:basedOn w:val="1"/>
    <w:link w:val="85"/>
    <w:unhideWhenUsed/>
    <w:qFormat/>
    <w:uiPriority w:val="99"/>
    <w:rPr>
      <w:rFonts w:ascii="Microsoft YaHei UI" w:eastAsia="Microsoft YaHei UI"/>
      <w:kern w:val="0"/>
      <w:sz w:val="18"/>
      <w:szCs w:val="18"/>
    </w:rPr>
  </w:style>
  <w:style w:type="paragraph" w:styleId="11">
    <w:name w:val="annotation text"/>
    <w:basedOn w:val="1"/>
    <w:link w:val="57"/>
    <w:qFormat/>
    <w:uiPriority w:val="0"/>
    <w:pPr>
      <w:jc w:val="left"/>
    </w:pPr>
    <w:rPr>
      <w:kern w:val="0"/>
      <w:sz w:val="20"/>
    </w:rPr>
  </w:style>
  <w:style w:type="paragraph" w:styleId="12">
    <w:name w:val="Body Text 3"/>
    <w:basedOn w:val="1"/>
    <w:qFormat/>
    <w:uiPriority w:val="0"/>
    <w:rPr>
      <w:rFonts w:ascii="宋体"/>
      <w:sz w:val="24"/>
      <w:szCs w:val="20"/>
    </w:rPr>
  </w:style>
  <w:style w:type="paragraph" w:styleId="13">
    <w:name w:val="Body Text"/>
    <w:basedOn w:val="1"/>
    <w:link w:val="95"/>
    <w:qFormat/>
    <w:uiPriority w:val="0"/>
    <w:pPr>
      <w:spacing w:after="120"/>
    </w:pPr>
    <w:rPr>
      <w:kern w:val="0"/>
      <w:sz w:val="20"/>
    </w:rPr>
  </w:style>
  <w:style w:type="paragraph" w:styleId="14">
    <w:name w:val="Body Text Indent"/>
    <w:basedOn w:val="1"/>
    <w:next w:val="6"/>
    <w:link w:val="98"/>
    <w:qFormat/>
    <w:uiPriority w:val="0"/>
    <w:pPr>
      <w:tabs>
        <w:tab w:val="left" w:pos="2160"/>
      </w:tabs>
      <w:ind w:left="2159" w:leftChars="1028" w:firstLine="1"/>
    </w:pPr>
    <w:rPr>
      <w:rFonts w:ascii="宋体" w:hAnsi="宋体"/>
      <w:kern w:val="0"/>
      <w:sz w:val="20"/>
      <w:szCs w:val="21"/>
    </w:rPr>
  </w:style>
  <w:style w:type="paragraph" w:styleId="15">
    <w:name w:val="index 4"/>
    <w:basedOn w:val="1"/>
    <w:next w:val="1"/>
    <w:unhideWhenUsed/>
    <w:qFormat/>
    <w:uiPriority w:val="99"/>
    <w:pPr>
      <w:ind w:left="600" w:leftChars="600"/>
    </w:pPr>
  </w:style>
  <w:style w:type="paragraph" w:styleId="16">
    <w:name w:val="toc 3"/>
    <w:basedOn w:val="1"/>
    <w:next w:val="1"/>
    <w:unhideWhenUsed/>
    <w:qFormat/>
    <w:uiPriority w:val="39"/>
    <w:pPr>
      <w:widowControl/>
      <w:spacing w:after="100" w:line="259" w:lineRule="auto"/>
      <w:ind w:left="440"/>
      <w:jc w:val="left"/>
    </w:pPr>
    <w:rPr>
      <w:kern w:val="0"/>
      <w:sz w:val="22"/>
      <w:szCs w:val="22"/>
    </w:rPr>
  </w:style>
  <w:style w:type="paragraph" w:styleId="17">
    <w:name w:val="Plain Text"/>
    <w:basedOn w:val="1"/>
    <w:link w:val="90"/>
    <w:qFormat/>
    <w:uiPriority w:val="0"/>
    <w:rPr>
      <w:rFonts w:ascii="宋体" w:hAnsi="Courier New"/>
      <w:kern w:val="0"/>
      <w:sz w:val="20"/>
      <w:szCs w:val="20"/>
    </w:rPr>
  </w:style>
  <w:style w:type="paragraph" w:styleId="18">
    <w:name w:val="Date"/>
    <w:basedOn w:val="1"/>
    <w:next w:val="1"/>
    <w:link w:val="83"/>
    <w:qFormat/>
    <w:uiPriority w:val="0"/>
    <w:pPr>
      <w:ind w:left="100" w:leftChars="2500"/>
    </w:pPr>
    <w:rPr>
      <w:kern w:val="0"/>
      <w:sz w:val="20"/>
    </w:rPr>
  </w:style>
  <w:style w:type="paragraph" w:styleId="19">
    <w:name w:val="Body Text Indent 2"/>
    <w:basedOn w:val="1"/>
    <w:qFormat/>
    <w:uiPriority w:val="0"/>
    <w:pPr>
      <w:spacing w:after="120" w:line="480" w:lineRule="auto"/>
      <w:ind w:left="420" w:leftChars="200"/>
    </w:pPr>
  </w:style>
  <w:style w:type="paragraph" w:styleId="20">
    <w:name w:val="Balloon Text"/>
    <w:basedOn w:val="1"/>
    <w:link w:val="91"/>
    <w:qFormat/>
    <w:uiPriority w:val="0"/>
    <w:rPr>
      <w:kern w:val="0"/>
      <w:sz w:val="18"/>
      <w:szCs w:val="18"/>
    </w:rPr>
  </w:style>
  <w:style w:type="paragraph" w:styleId="21">
    <w:name w:val="footer"/>
    <w:basedOn w:val="1"/>
    <w:link w:val="73"/>
    <w:qFormat/>
    <w:uiPriority w:val="99"/>
    <w:pPr>
      <w:tabs>
        <w:tab w:val="center" w:pos="4153"/>
        <w:tab w:val="right" w:pos="8306"/>
      </w:tabs>
      <w:snapToGrid w:val="0"/>
      <w:jc w:val="left"/>
    </w:pPr>
    <w:rPr>
      <w:kern w:val="0"/>
      <w:sz w:val="18"/>
      <w:szCs w:val="20"/>
    </w:rPr>
  </w:style>
  <w:style w:type="paragraph" w:styleId="22">
    <w:name w:val="header"/>
    <w:basedOn w:val="1"/>
    <w:link w:val="71"/>
    <w:qFormat/>
    <w:uiPriority w:val="99"/>
    <w:pPr>
      <w:pBdr>
        <w:bottom w:val="single" w:color="auto" w:sz="6" w:space="1"/>
      </w:pBdr>
      <w:tabs>
        <w:tab w:val="center" w:pos="4153"/>
        <w:tab w:val="right" w:pos="8306"/>
      </w:tabs>
      <w:snapToGrid w:val="0"/>
      <w:jc w:val="center"/>
    </w:pPr>
    <w:rPr>
      <w:kern w:val="0"/>
      <w:sz w:val="18"/>
      <w:szCs w:val="20"/>
    </w:rPr>
  </w:style>
  <w:style w:type="paragraph" w:styleId="23">
    <w:name w:val="toc 1"/>
    <w:basedOn w:val="1"/>
    <w:next w:val="1"/>
    <w:qFormat/>
    <w:uiPriority w:val="39"/>
    <w:pPr>
      <w:tabs>
        <w:tab w:val="right" w:leader="dot" w:pos="8296"/>
      </w:tabs>
      <w:jc w:val="left"/>
    </w:pPr>
  </w:style>
  <w:style w:type="paragraph" w:styleId="24">
    <w:name w:val="Subtitle"/>
    <w:basedOn w:val="1"/>
    <w:next w:val="1"/>
    <w:link w:val="58"/>
    <w:qFormat/>
    <w:uiPriority w:val="0"/>
    <w:pPr>
      <w:spacing w:before="240" w:after="60" w:line="312" w:lineRule="auto"/>
      <w:jc w:val="center"/>
      <w:outlineLvl w:val="1"/>
    </w:pPr>
    <w:rPr>
      <w:rFonts w:ascii="Calibri Light" w:hAnsi="Calibri Light"/>
      <w:b/>
      <w:bCs/>
      <w:kern w:val="28"/>
      <w:sz w:val="32"/>
      <w:szCs w:val="32"/>
    </w:rPr>
  </w:style>
  <w:style w:type="paragraph" w:styleId="25">
    <w:name w:val="Body Text Indent 3"/>
    <w:basedOn w:val="1"/>
    <w:link w:val="72"/>
    <w:qFormat/>
    <w:uiPriority w:val="0"/>
    <w:pPr>
      <w:spacing w:after="120"/>
      <w:ind w:left="420" w:leftChars="200"/>
    </w:pPr>
    <w:rPr>
      <w:kern w:val="0"/>
      <w:sz w:val="16"/>
      <w:szCs w:val="16"/>
    </w:rPr>
  </w:style>
  <w:style w:type="paragraph" w:styleId="26">
    <w:name w:val="toc 2"/>
    <w:basedOn w:val="1"/>
    <w:next w:val="1"/>
    <w:unhideWhenUsed/>
    <w:qFormat/>
    <w:uiPriority w:val="39"/>
    <w:pPr>
      <w:widowControl/>
      <w:spacing w:after="100" w:line="259" w:lineRule="auto"/>
      <w:ind w:left="220"/>
      <w:jc w:val="left"/>
    </w:pPr>
    <w:rPr>
      <w:kern w:val="0"/>
      <w:sz w:val="22"/>
      <w:szCs w:val="22"/>
    </w:rPr>
  </w:style>
  <w:style w:type="paragraph" w:styleId="27">
    <w:name w:val="toc 9"/>
    <w:basedOn w:val="1"/>
    <w:next w:val="1"/>
    <w:qFormat/>
    <w:uiPriority w:val="0"/>
    <w:pPr>
      <w:ind w:left="3360" w:leftChars="1600"/>
    </w:pPr>
  </w:style>
  <w:style w:type="paragraph" w:styleId="28">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2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0">
    <w:name w:val="Title"/>
    <w:basedOn w:val="1"/>
    <w:next w:val="1"/>
    <w:link w:val="80"/>
    <w:qFormat/>
    <w:uiPriority w:val="0"/>
    <w:pPr>
      <w:spacing w:before="240" w:after="60"/>
      <w:jc w:val="center"/>
      <w:outlineLvl w:val="0"/>
    </w:pPr>
    <w:rPr>
      <w:rFonts w:ascii="Cambria" w:hAnsi="Cambria"/>
      <w:b/>
      <w:bCs/>
      <w:kern w:val="0"/>
      <w:sz w:val="36"/>
      <w:szCs w:val="32"/>
    </w:rPr>
  </w:style>
  <w:style w:type="paragraph" w:styleId="31">
    <w:name w:val="annotation subject"/>
    <w:basedOn w:val="11"/>
    <w:next w:val="11"/>
    <w:link w:val="64"/>
    <w:qFormat/>
    <w:uiPriority w:val="99"/>
    <w:rPr>
      <w:b/>
      <w:bCs/>
    </w:rPr>
  </w:style>
  <w:style w:type="paragraph" w:styleId="32">
    <w:name w:val="Body Text First Indent"/>
    <w:basedOn w:val="13"/>
    <w:link w:val="75"/>
    <w:qFormat/>
    <w:uiPriority w:val="0"/>
    <w:pPr>
      <w:ind w:firstLine="420" w:firstLineChars="100"/>
    </w:p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qFormat/>
    <w:uiPriority w:val="22"/>
    <w:rPr>
      <w:b/>
    </w:rPr>
  </w:style>
  <w:style w:type="character" w:styleId="37">
    <w:name w:val="page number"/>
    <w:qFormat/>
    <w:uiPriority w:val="0"/>
  </w:style>
  <w:style w:type="character" w:styleId="38">
    <w:name w:val="FollowedHyperlink"/>
    <w:qFormat/>
    <w:uiPriority w:val="99"/>
    <w:rPr>
      <w:color w:val="0000FF"/>
      <w:u w:val="single"/>
    </w:rPr>
  </w:style>
  <w:style w:type="character" w:styleId="39">
    <w:name w:val="Emphasis"/>
    <w:qFormat/>
    <w:uiPriority w:val="0"/>
    <w:rPr>
      <w:i/>
      <w:iCs/>
    </w:rPr>
  </w:style>
  <w:style w:type="character" w:styleId="40">
    <w:name w:val="HTML Definition"/>
    <w:basedOn w:val="35"/>
    <w:semiHidden/>
    <w:unhideWhenUsed/>
    <w:qFormat/>
    <w:uiPriority w:val="99"/>
  </w:style>
  <w:style w:type="character" w:styleId="41">
    <w:name w:val="HTML Acronym"/>
    <w:basedOn w:val="35"/>
    <w:semiHidden/>
    <w:unhideWhenUsed/>
    <w:qFormat/>
    <w:uiPriority w:val="99"/>
  </w:style>
  <w:style w:type="character" w:styleId="42">
    <w:name w:val="HTML Variable"/>
    <w:basedOn w:val="35"/>
    <w:semiHidden/>
    <w:unhideWhenUsed/>
    <w:qFormat/>
    <w:uiPriority w:val="99"/>
  </w:style>
  <w:style w:type="character" w:styleId="43">
    <w:name w:val="Hyperlink"/>
    <w:qFormat/>
    <w:uiPriority w:val="99"/>
    <w:rPr>
      <w:color w:val="000099"/>
      <w:u w:val="none"/>
    </w:rPr>
  </w:style>
  <w:style w:type="character" w:styleId="44">
    <w:name w:val="HTML Code"/>
    <w:basedOn w:val="35"/>
    <w:semiHidden/>
    <w:unhideWhenUsed/>
    <w:qFormat/>
    <w:uiPriority w:val="99"/>
    <w:rPr>
      <w:rFonts w:ascii="Courier New" w:hAnsi="Courier New"/>
      <w:sz w:val="20"/>
    </w:rPr>
  </w:style>
  <w:style w:type="character" w:styleId="45">
    <w:name w:val="annotation reference"/>
    <w:qFormat/>
    <w:uiPriority w:val="0"/>
    <w:rPr>
      <w:sz w:val="21"/>
      <w:szCs w:val="21"/>
    </w:rPr>
  </w:style>
  <w:style w:type="character" w:styleId="46">
    <w:name w:val="HTML Cite"/>
    <w:basedOn w:val="35"/>
    <w:semiHidden/>
    <w:unhideWhenUsed/>
    <w:qFormat/>
    <w:uiPriority w:val="99"/>
  </w:style>
  <w:style w:type="character" w:styleId="47">
    <w:name w:val="HTML Sample"/>
    <w:basedOn w:val="35"/>
    <w:semiHidden/>
    <w:unhideWhenUsed/>
    <w:qFormat/>
    <w:uiPriority w:val="99"/>
    <w:rPr>
      <w:rFonts w:ascii="Courier New" w:hAnsi="Courier New"/>
    </w:rPr>
  </w:style>
  <w:style w:type="paragraph" w:customStyle="1" w:styleId="48">
    <w:name w:val="引言二级条标题"/>
    <w:basedOn w:val="49"/>
    <w:next w:val="50"/>
    <w:qFormat/>
    <w:uiPriority w:val="0"/>
    <w:pPr>
      <w:numPr>
        <w:ilvl w:val="1"/>
        <w:numId w:val="2"/>
      </w:numPr>
      <w:tabs>
        <w:tab w:val="left" w:pos="360"/>
      </w:tabs>
    </w:pPr>
  </w:style>
  <w:style w:type="paragraph" w:customStyle="1" w:styleId="49">
    <w:name w:val="引言一级条标题"/>
    <w:next w:val="50"/>
    <w:qFormat/>
    <w:uiPriority w:val="0"/>
    <w:rPr>
      <w:rFonts w:ascii="Calibri" w:hAnsi="Calibri" w:eastAsia="黑体" w:cs="Times New Roman"/>
      <w:b/>
      <w:lang w:val="en-US" w:eastAsia="zh-CN" w:bidi="ar-SA"/>
    </w:rPr>
  </w:style>
  <w:style w:type="paragraph" w:customStyle="1" w:styleId="50">
    <w:name w:val="段"/>
    <w:next w:val="1"/>
    <w:link w:val="92"/>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51">
    <w:name w:val="一级条标题"/>
    <w:basedOn w:val="52"/>
    <w:next w:val="50"/>
    <w:link w:val="102"/>
    <w:qFormat/>
    <w:uiPriority w:val="0"/>
    <w:pPr>
      <w:tabs>
        <w:tab w:val="left" w:pos="720"/>
      </w:tabs>
      <w:spacing w:beforeLines="0" w:afterLines="0"/>
      <w:outlineLvl w:val="2"/>
    </w:pPr>
  </w:style>
  <w:style w:type="paragraph" w:customStyle="1" w:styleId="52">
    <w:name w:val="章标题"/>
    <w:next w:val="1"/>
    <w:link w:val="88"/>
    <w:qFormat/>
    <w:uiPriority w:val="0"/>
    <w:pPr>
      <w:tabs>
        <w:tab w:val="left" w:pos="720"/>
      </w:tabs>
      <w:spacing w:beforeLines="50" w:afterLines="50"/>
      <w:ind w:left="567" w:hanging="567"/>
      <w:jc w:val="both"/>
      <w:outlineLvl w:val="1"/>
    </w:pPr>
    <w:rPr>
      <w:rFonts w:ascii="黑体" w:hAnsi="Calibri" w:eastAsia="黑体" w:cs="Times New Roman"/>
      <w:sz w:val="21"/>
      <w:lang w:val="en-US" w:eastAsia="zh-CN" w:bidi="ar-SA"/>
    </w:rPr>
  </w:style>
  <w:style w:type="character" w:customStyle="1" w:styleId="53">
    <w:name w:val="标题 1 Char"/>
    <w:link w:val="2"/>
    <w:qFormat/>
    <w:uiPriority w:val="0"/>
    <w:rPr>
      <w:rFonts w:ascii="宋体" w:eastAsia="黑体"/>
      <w:kern w:val="28"/>
      <w:sz w:val="28"/>
    </w:rPr>
  </w:style>
  <w:style w:type="paragraph" w:customStyle="1" w:styleId="54">
    <w:name w:val="Plain Text1"/>
    <w:basedOn w:val="1"/>
    <w:qFormat/>
    <w:uiPriority w:val="99"/>
    <w:rPr>
      <w:rFonts w:ascii="宋体" w:hAnsi="Courier New" w:cs="宋体"/>
    </w:rPr>
  </w:style>
  <w:style w:type="paragraph" w:customStyle="1" w:styleId="55">
    <w:name w:val="样式 首行缩进:  2 字符"/>
    <w:basedOn w:val="1"/>
    <w:qFormat/>
    <w:uiPriority w:val="0"/>
    <w:pPr>
      <w:spacing w:line="400" w:lineRule="exact"/>
      <w:ind w:firstLine="200" w:firstLineChars="200"/>
    </w:pPr>
    <w:rPr>
      <w:rFonts w:cs="宋体"/>
      <w:sz w:val="24"/>
    </w:rPr>
  </w:style>
  <w:style w:type="character" w:customStyle="1" w:styleId="56">
    <w:name w:val="页眉 Char"/>
    <w:qFormat/>
    <w:uiPriority w:val="99"/>
    <w:rPr>
      <w:lang w:eastAsia="zh-CN"/>
    </w:rPr>
  </w:style>
  <w:style w:type="character" w:customStyle="1" w:styleId="57">
    <w:name w:val="批注文字 Char1"/>
    <w:link w:val="11"/>
    <w:qFormat/>
    <w:uiPriority w:val="0"/>
    <w:rPr>
      <w:rFonts w:ascii="Times New Roman" w:hAnsi="Times New Roman" w:eastAsia="宋体" w:cs="Times New Roman"/>
      <w:szCs w:val="24"/>
    </w:rPr>
  </w:style>
  <w:style w:type="character" w:customStyle="1" w:styleId="58">
    <w:name w:val="副标题 Char"/>
    <w:link w:val="24"/>
    <w:qFormat/>
    <w:uiPriority w:val="0"/>
    <w:rPr>
      <w:rFonts w:ascii="Calibri Light" w:hAnsi="Calibri Light" w:eastAsia="宋体" w:cs="Times New Roman"/>
      <w:b/>
      <w:bCs/>
      <w:kern w:val="28"/>
      <w:sz w:val="32"/>
      <w:szCs w:val="32"/>
    </w:rPr>
  </w:style>
  <w:style w:type="character" w:customStyle="1" w:styleId="59">
    <w:name w:val="HTML 预设格式 Char"/>
    <w:link w:val="28"/>
    <w:qFormat/>
    <w:uiPriority w:val="99"/>
    <w:rPr>
      <w:rFonts w:ascii="宋体" w:hAnsi="宋体" w:cs="宋体"/>
      <w:sz w:val="24"/>
      <w:szCs w:val="24"/>
    </w:rPr>
  </w:style>
  <w:style w:type="character" w:customStyle="1" w:styleId="60">
    <w:name w:val="标题4 Char Char"/>
    <w:link w:val="61"/>
    <w:qFormat/>
    <w:uiPriority w:val="0"/>
    <w:rPr>
      <w:rFonts w:ascii="Arial" w:hAnsi="Arial"/>
      <w:b/>
      <w:bCs/>
      <w:sz w:val="24"/>
      <w:szCs w:val="32"/>
    </w:rPr>
  </w:style>
  <w:style w:type="paragraph" w:customStyle="1" w:styleId="61">
    <w:name w:val="标题4"/>
    <w:basedOn w:val="3"/>
    <w:next w:val="15"/>
    <w:link w:val="60"/>
    <w:qFormat/>
    <w:uiPriority w:val="0"/>
    <w:pPr>
      <w:numPr>
        <w:ilvl w:val="0"/>
        <w:numId w:val="0"/>
      </w:numPr>
      <w:tabs>
        <w:tab w:val="clear" w:pos="720"/>
      </w:tabs>
      <w:snapToGrid/>
      <w:spacing w:before="260" w:after="260" w:line="413" w:lineRule="auto"/>
    </w:pPr>
    <w:rPr>
      <w:rFonts w:ascii="Arial" w:hAnsi="Arial"/>
      <w:b/>
      <w:bCs/>
      <w:kern w:val="0"/>
      <w:sz w:val="24"/>
      <w:szCs w:val="32"/>
    </w:rPr>
  </w:style>
  <w:style w:type="character" w:customStyle="1" w:styleId="62">
    <w:name w:val="标题 Char1"/>
    <w:qFormat/>
    <w:uiPriority w:val="0"/>
    <w:rPr>
      <w:rFonts w:ascii="Calibri Light" w:hAnsi="Calibri Light" w:eastAsia="宋体" w:cs="Times New Roman"/>
      <w:b/>
      <w:bCs/>
      <w:sz w:val="32"/>
      <w:szCs w:val="32"/>
    </w:rPr>
  </w:style>
  <w:style w:type="character" w:customStyle="1" w:styleId="63">
    <w:name w:val="标题 Char"/>
    <w:qFormat/>
    <w:uiPriority w:val="0"/>
    <w:rPr>
      <w:rFonts w:ascii="Cambria" w:hAnsi="Cambria"/>
      <w:b/>
      <w:bCs/>
      <w:kern w:val="2"/>
      <w:sz w:val="36"/>
      <w:szCs w:val="32"/>
    </w:rPr>
  </w:style>
  <w:style w:type="character" w:customStyle="1" w:styleId="64">
    <w:name w:val="批注主题 Char1"/>
    <w:link w:val="31"/>
    <w:qFormat/>
    <w:uiPriority w:val="99"/>
    <w:rPr>
      <w:rFonts w:ascii="Times New Roman" w:hAnsi="Times New Roman" w:eastAsia="宋体" w:cs="Times New Roman"/>
      <w:b/>
      <w:bCs/>
      <w:szCs w:val="24"/>
    </w:rPr>
  </w:style>
  <w:style w:type="character" w:customStyle="1" w:styleId="65">
    <w:name w:val="标题 7 Char"/>
    <w:link w:val="9"/>
    <w:semiHidden/>
    <w:qFormat/>
    <w:uiPriority w:val="9"/>
    <w:rPr>
      <w:rFonts w:ascii="Times New Roman" w:hAnsi="Times New Roman"/>
      <w:b/>
      <w:bCs/>
      <w:kern w:val="2"/>
      <w:sz w:val="24"/>
      <w:szCs w:val="24"/>
    </w:rPr>
  </w:style>
  <w:style w:type="character" w:customStyle="1" w:styleId="66">
    <w:name w:val="Table Text Char Char Char"/>
    <w:qFormat/>
    <w:uiPriority w:val="0"/>
    <w:rPr>
      <w:rFonts w:ascii="Arial" w:hAnsi="Arial" w:eastAsia="宋体" w:cs="Arial"/>
      <w:sz w:val="18"/>
      <w:szCs w:val="18"/>
      <w:lang w:val="en-US" w:eastAsia="zh-CN" w:bidi="ar-SA"/>
    </w:rPr>
  </w:style>
  <w:style w:type="character" w:customStyle="1" w:styleId="67">
    <w:name w:val="无间隔 Char1"/>
    <w:link w:val="68"/>
    <w:qFormat/>
    <w:uiPriority w:val="1"/>
    <w:rPr>
      <w:kern w:val="2"/>
      <w:sz w:val="21"/>
      <w:szCs w:val="24"/>
      <w:lang w:val="en-US" w:eastAsia="zh-CN" w:bidi="ar-SA"/>
    </w:rPr>
  </w:style>
  <w:style w:type="paragraph" w:styleId="68">
    <w:name w:val="No Spacing"/>
    <w:link w:val="67"/>
    <w:qFormat/>
    <w:uiPriority w:val="1"/>
    <w:pPr>
      <w:widowControl w:val="0"/>
      <w:jc w:val="both"/>
    </w:pPr>
    <w:rPr>
      <w:rFonts w:ascii="Calibri" w:hAnsi="Calibri" w:eastAsia="宋体" w:cs="Times New Roman"/>
      <w:kern w:val="2"/>
      <w:sz w:val="21"/>
      <w:szCs w:val="24"/>
      <w:lang w:val="en-US" w:eastAsia="zh-CN" w:bidi="ar-SA"/>
    </w:rPr>
  </w:style>
  <w:style w:type="character" w:customStyle="1" w:styleId="69">
    <w:name w:val="无间隔 Char"/>
    <w:link w:val="70"/>
    <w:qFormat/>
    <w:uiPriority w:val="1"/>
    <w:rPr>
      <w:kern w:val="2"/>
      <w:sz w:val="21"/>
      <w:szCs w:val="24"/>
      <w:lang w:val="en-US" w:eastAsia="zh-CN" w:bidi="ar-SA"/>
    </w:rPr>
  </w:style>
  <w:style w:type="paragraph" w:customStyle="1" w:styleId="70">
    <w:name w:val="_Style 32"/>
    <w:link w:val="69"/>
    <w:qFormat/>
    <w:uiPriority w:val="1"/>
    <w:pPr>
      <w:widowControl w:val="0"/>
      <w:jc w:val="both"/>
    </w:pPr>
    <w:rPr>
      <w:rFonts w:ascii="Calibri" w:hAnsi="Calibri" w:eastAsia="宋体" w:cs="Times New Roman"/>
      <w:kern w:val="2"/>
      <w:sz w:val="21"/>
      <w:szCs w:val="24"/>
      <w:lang w:val="en-US" w:eastAsia="zh-CN" w:bidi="ar-SA"/>
    </w:rPr>
  </w:style>
  <w:style w:type="character" w:customStyle="1" w:styleId="71">
    <w:name w:val="页眉 Char1"/>
    <w:link w:val="22"/>
    <w:qFormat/>
    <w:uiPriority w:val="99"/>
    <w:rPr>
      <w:rFonts w:ascii="Times New Roman" w:hAnsi="Times New Roman" w:eastAsia="宋体" w:cs="Times New Roman"/>
      <w:sz w:val="18"/>
      <w:szCs w:val="20"/>
    </w:rPr>
  </w:style>
  <w:style w:type="character" w:customStyle="1" w:styleId="72">
    <w:name w:val="正文文本缩进 3 Char"/>
    <w:link w:val="25"/>
    <w:qFormat/>
    <w:uiPriority w:val="0"/>
    <w:rPr>
      <w:rFonts w:ascii="Times New Roman" w:hAnsi="Times New Roman" w:eastAsia="宋体" w:cs="Times New Roman"/>
      <w:sz w:val="16"/>
      <w:szCs w:val="16"/>
    </w:rPr>
  </w:style>
  <w:style w:type="character" w:customStyle="1" w:styleId="73">
    <w:name w:val="页脚 Char"/>
    <w:link w:val="21"/>
    <w:qFormat/>
    <w:uiPriority w:val="99"/>
    <w:rPr>
      <w:rFonts w:ascii="Times New Roman" w:hAnsi="Times New Roman" w:eastAsia="宋体" w:cs="Times New Roman"/>
      <w:sz w:val="18"/>
      <w:szCs w:val="20"/>
    </w:rPr>
  </w:style>
  <w:style w:type="character" w:customStyle="1" w:styleId="74">
    <w:name w:val="批注文字 Char"/>
    <w:qFormat/>
    <w:uiPriority w:val="0"/>
    <w:rPr>
      <w:rFonts w:ascii="Times New Roman" w:hAnsi="Times New Roman" w:eastAsia="宋体" w:cs="Times New Roman"/>
      <w:szCs w:val="24"/>
    </w:rPr>
  </w:style>
  <w:style w:type="character" w:customStyle="1" w:styleId="75">
    <w:name w:val="正文首行缩进 Char"/>
    <w:link w:val="32"/>
    <w:qFormat/>
    <w:uiPriority w:val="0"/>
    <w:rPr>
      <w:rFonts w:ascii="Times New Roman" w:hAnsi="Times New Roman" w:eastAsia="宋体" w:cs="Times New Roman"/>
      <w:szCs w:val="24"/>
    </w:rPr>
  </w:style>
  <w:style w:type="character" w:customStyle="1" w:styleId="76">
    <w:name w:val="bookmark-item"/>
    <w:basedOn w:val="35"/>
    <w:qFormat/>
    <w:uiPriority w:val="0"/>
  </w:style>
  <w:style w:type="character" w:customStyle="1" w:styleId="77">
    <w:name w:val="二级条标题 Char Char"/>
    <w:link w:val="78"/>
    <w:qFormat/>
    <w:uiPriority w:val="0"/>
    <w:rPr>
      <w:rFonts w:ascii="黑体" w:eastAsia="黑体"/>
      <w:sz w:val="21"/>
    </w:rPr>
  </w:style>
  <w:style w:type="paragraph" w:customStyle="1" w:styleId="78">
    <w:name w:val="二级条标题"/>
    <w:basedOn w:val="51"/>
    <w:next w:val="50"/>
    <w:link w:val="77"/>
    <w:qFormat/>
    <w:uiPriority w:val="0"/>
    <w:pPr>
      <w:outlineLvl w:val="3"/>
    </w:pPr>
  </w:style>
  <w:style w:type="character" w:customStyle="1" w:styleId="79">
    <w:name w:val="标题 6 Char"/>
    <w:link w:val="8"/>
    <w:qFormat/>
    <w:uiPriority w:val="0"/>
    <w:rPr>
      <w:rFonts w:ascii="Calibri Light" w:hAnsi="Calibri Light" w:eastAsia="宋体" w:cs="Times New Roman"/>
      <w:b/>
      <w:bCs/>
      <w:sz w:val="24"/>
      <w:szCs w:val="24"/>
    </w:rPr>
  </w:style>
  <w:style w:type="character" w:customStyle="1" w:styleId="80">
    <w:name w:val="标题 Char2"/>
    <w:link w:val="30"/>
    <w:qFormat/>
    <w:uiPriority w:val="0"/>
    <w:rPr>
      <w:rFonts w:ascii="Cambria" w:hAnsi="Cambria"/>
      <w:b/>
      <w:bCs/>
      <w:sz w:val="36"/>
      <w:szCs w:val="32"/>
    </w:rPr>
  </w:style>
  <w:style w:type="character" w:customStyle="1" w:styleId="81">
    <w:name w:val="标题 4 Char"/>
    <w:link w:val="6"/>
    <w:qFormat/>
    <w:uiPriority w:val="0"/>
    <w:rPr>
      <w:rFonts w:ascii="Calibri Light" w:hAnsi="Calibri Light" w:eastAsia="宋体" w:cs="Times New Roman"/>
      <w:b/>
      <w:bCs/>
      <w:sz w:val="28"/>
      <w:szCs w:val="28"/>
    </w:rPr>
  </w:style>
  <w:style w:type="character" w:customStyle="1" w:styleId="82">
    <w:name w:val="textcontents"/>
    <w:qFormat/>
    <w:uiPriority w:val="0"/>
    <w:rPr>
      <w:rFonts w:cs="Times New Roman"/>
    </w:rPr>
  </w:style>
  <w:style w:type="character" w:customStyle="1" w:styleId="83">
    <w:name w:val="日期 Char"/>
    <w:link w:val="18"/>
    <w:qFormat/>
    <w:uiPriority w:val="0"/>
    <w:rPr>
      <w:rFonts w:ascii="Times New Roman" w:hAnsi="Times New Roman" w:eastAsia="宋体" w:cs="Times New Roman"/>
      <w:szCs w:val="24"/>
    </w:rPr>
  </w:style>
  <w:style w:type="character" w:customStyle="1" w:styleId="84">
    <w:name w:val="纯文本 Char"/>
    <w:qFormat/>
    <w:uiPriority w:val="0"/>
    <w:rPr>
      <w:rFonts w:ascii="宋体" w:hAnsi="Courier New" w:eastAsia="宋体" w:cs="Courier New"/>
      <w:szCs w:val="21"/>
    </w:rPr>
  </w:style>
  <w:style w:type="character" w:customStyle="1" w:styleId="85">
    <w:name w:val="文档结构图 Char"/>
    <w:link w:val="10"/>
    <w:semiHidden/>
    <w:qFormat/>
    <w:uiPriority w:val="99"/>
    <w:rPr>
      <w:rFonts w:ascii="Microsoft YaHei UI" w:hAnsi="Times New Roman" w:eastAsia="Microsoft YaHei UI" w:cs="Times New Roman"/>
      <w:sz w:val="18"/>
      <w:szCs w:val="18"/>
    </w:rPr>
  </w:style>
  <w:style w:type="character" w:customStyle="1" w:styleId="86">
    <w:name w:val="标题 2 Char1"/>
    <w:link w:val="3"/>
    <w:qFormat/>
    <w:uiPriority w:val="0"/>
    <w:rPr>
      <w:rFonts w:ascii="宋体"/>
      <w:kern w:val="2"/>
      <w:sz w:val="28"/>
    </w:rPr>
  </w:style>
  <w:style w:type="character" w:customStyle="1" w:styleId="87">
    <w:name w:val="标题 3 Char"/>
    <w:link w:val="4"/>
    <w:qFormat/>
    <w:uiPriority w:val="0"/>
    <w:rPr>
      <w:rFonts w:ascii="宋体"/>
      <w:kern w:val="2"/>
      <w:sz w:val="28"/>
    </w:rPr>
  </w:style>
  <w:style w:type="character" w:customStyle="1" w:styleId="88">
    <w:name w:val="章标题 Char Char"/>
    <w:link w:val="52"/>
    <w:qFormat/>
    <w:uiPriority w:val="0"/>
    <w:rPr>
      <w:rFonts w:ascii="黑体" w:eastAsia="黑体"/>
      <w:sz w:val="21"/>
      <w:lang w:val="en-US" w:eastAsia="zh-CN" w:bidi="ar-SA"/>
    </w:rPr>
  </w:style>
  <w:style w:type="character" w:customStyle="1" w:styleId="89">
    <w:name w:val="批注主题 Char"/>
    <w:semiHidden/>
    <w:qFormat/>
    <w:uiPriority w:val="99"/>
    <w:rPr>
      <w:rFonts w:ascii="Times New Roman" w:hAnsi="Times New Roman" w:eastAsia="宋体" w:cs="Times New Roman"/>
      <w:b/>
      <w:bCs/>
      <w:szCs w:val="24"/>
    </w:rPr>
  </w:style>
  <w:style w:type="character" w:customStyle="1" w:styleId="90">
    <w:name w:val="纯文本 Char2"/>
    <w:link w:val="17"/>
    <w:qFormat/>
    <w:uiPriority w:val="0"/>
    <w:rPr>
      <w:rFonts w:ascii="宋体" w:hAnsi="Courier New" w:eastAsia="宋体" w:cs="Times New Roman"/>
      <w:szCs w:val="20"/>
    </w:rPr>
  </w:style>
  <w:style w:type="character" w:customStyle="1" w:styleId="91">
    <w:name w:val="批注框文本 Char"/>
    <w:link w:val="20"/>
    <w:qFormat/>
    <w:uiPriority w:val="0"/>
    <w:rPr>
      <w:rFonts w:ascii="Times New Roman" w:hAnsi="Times New Roman" w:eastAsia="宋体" w:cs="Times New Roman"/>
      <w:sz w:val="18"/>
      <w:szCs w:val="18"/>
    </w:rPr>
  </w:style>
  <w:style w:type="character" w:customStyle="1" w:styleId="92">
    <w:name w:val="段 Char Char"/>
    <w:link w:val="50"/>
    <w:qFormat/>
    <w:uiPriority w:val="0"/>
    <w:rPr>
      <w:rFonts w:ascii="宋体"/>
      <w:sz w:val="21"/>
      <w:lang w:val="en-US" w:eastAsia="zh-CN" w:bidi="ar-SA"/>
    </w:rPr>
  </w:style>
  <w:style w:type="character" w:customStyle="1" w:styleId="93">
    <w:name w:val="标题 5 Char"/>
    <w:link w:val="7"/>
    <w:qFormat/>
    <w:uiPriority w:val="0"/>
    <w:rPr>
      <w:rFonts w:ascii="Times New Roman" w:hAnsi="Times New Roman" w:eastAsia="宋体" w:cs="Times New Roman"/>
      <w:b/>
      <w:bCs/>
      <w:sz w:val="28"/>
      <w:szCs w:val="28"/>
    </w:rPr>
  </w:style>
  <w:style w:type="character" w:customStyle="1" w:styleId="94">
    <w:name w:val="纯文本 Char1"/>
    <w:qFormat/>
    <w:uiPriority w:val="0"/>
    <w:rPr>
      <w:rFonts w:ascii="宋体" w:hAnsi="Courier New" w:eastAsia="宋体" w:cs="Courier New"/>
      <w:sz w:val="21"/>
      <w:szCs w:val="21"/>
    </w:rPr>
  </w:style>
  <w:style w:type="character" w:customStyle="1" w:styleId="95">
    <w:name w:val="正文文本 Char"/>
    <w:link w:val="13"/>
    <w:qFormat/>
    <w:uiPriority w:val="0"/>
    <w:rPr>
      <w:rFonts w:ascii="Times New Roman" w:hAnsi="Times New Roman" w:eastAsia="宋体" w:cs="Times New Roman"/>
      <w:szCs w:val="24"/>
    </w:rPr>
  </w:style>
  <w:style w:type="character" w:customStyle="1" w:styleId="96">
    <w:name w:val="三级条标题 Char Char"/>
    <w:link w:val="97"/>
    <w:qFormat/>
    <w:uiPriority w:val="0"/>
    <w:rPr>
      <w:rFonts w:ascii="黑体" w:eastAsia="黑体"/>
      <w:sz w:val="21"/>
    </w:rPr>
  </w:style>
  <w:style w:type="paragraph" w:customStyle="1" w:styleId="97">
    <w:name w:val="三级条标题"/>
    <w:basedOn w:val="78"/>
    <w:next w:val="50"/>
    <w:link w:val="96"/>
    <w:qFormat/>
    <w:uiPriority w:val="0"/>
    <w:pPr>
      <w:tabs>
        <w:tab w:val="left" w:pos="992"/>
      </w:tabs>
      <w:ind w:left="992" w:hanging="992"/>
      <w:outlineLvl w:val="4"/>
    </w:pPr>
  </w:style>
  <w:style w:type="character" w:customStyle="1" w:styleId="98">
    <w:name w:val="正文文本缩进 Char"/>
    <w:link w:val="14"/>
    <w:qFormat/>
    <w:uiPriority w:val="0"/>
    <w:rPr>
      <w:rFonts w:ascii="宋体" w:hAnsi="宋体" w:eastAsia="宋体" w:cs="Times New Roman"/>
      <w:szCs w:val="21"/>
    </w:rPr>
  </w:style>
  <w:style w:type="character" w:customStyle="1" w:styleId="99">
    <w:name w:val="标题 2 Char"/>
    <w:qFormat/>
    <w:uiPriority w:val="0"/>
    <w:rPr>
      <w:rFonts w:ascii="Cambria" w:hAnsi="Cambria" w:eastAsia="宋体"/>
      <w:b/>
      <w:bCs/>
      <w:sz w:val="32"/>
      <w:szCs w:val="32"/>
    </w:rPr>
  </w:style>
  <w:style w:type="character" w:customStyle="1" w:styleId="100">
    <w:name w:val="Table Text Char"/>
    <w:qFormat/>
    <w:uiPriority w:val="0"/>
    <w:rPr>
      <w:rFonts w:ascii="Arial" w:hAnsi="Arial" w:eastAsia="宋体"/>
      <w:sz w:val="18"/>
      <w:lang w:val="en-US" w:eastAsia="zh-CN" w:bidi="ar-SA"/>
    </w:rPr>
  </w:style>
  <w:style w:type="character" w:customStyle="1" w:styleId="101">
    <w:name w:val="tabg"/>
    <w:qFormat/>
    <w:uiPriority w:val="0"/>
    <w:rPr>
      <w:rFonts w:ascii="微软雅黑" w:hAnsi="微软雅黑" w:eastAsia="微软雅黑" w:cs="微软雅黑"/>
      <w:color w:val="FFFFFF"/>
      <w:sz w:val="27"/>
      <w:szCs w:val="27"/>
    </w:rPr>
  </w:style>
  <w:style w:type="character" w:customStyle="1" w:styleId="102">
    <w:name w:val="一级条标题 Char Char"/>
    <w:link w:val="51"/>
    <w:qFormat/>
    <w:uiPriority w:val="0"/>
    <w:rPr>
      <w:rFonts w:ascii="黑体" w:eastAsia="黑体"/>
      <w:sz w:val="21"/>
    </w:rPr>
  </w:style>
  <w:style w:type="paragraph" w:customStyle="1" w:styleId="103">
    <w:name w:val="正文图标题"/>
    <w:next w:val="50"/>
    <w:qFormat/>
    <w:uiPriority w:val="0"/>
    <w:pPr>
      <w:ind w:left="360" w:hanging="360"/>
      <w:jc w:val="center"/>
    </w:pPr>
    <w:rPr>
      <w:rFonts w:ascii="黑体" w:hAnsi="Calibri" w:eastAsia="黑体" w:cs="Times New Roman"/>
      <w:sz w:val="21"/>
      <w:lang w:val="en-US" w:eastAsia="zh-CN" w:bidi="ar-SA"/>
    </w:rPr>
  </w:style>
  <w:style w:type="paragraph" w:customStyle="1" w:styleId="104">
    <w:name w:val="样式1"/>
    <w:basedOn w:val="1"/>
    <w:qFormat/>
    <w:uiPriority w:val="0"/>
    <w:rPr>
      <w:rFonts w:eastAsia="仿宋_GB2312"/>
      <w:kern w:val="0"/>
      <w:sz w:val="32"/>
      <w:szCs w:val="20"/>
    </w:rPr>
  </w:style>
  <w:style w:type="paragraph" w:customStyle="1" w:styleId="105">
    <w:name w:val="_Style 3"/>
    <w:qFormat/>
    <w:uiPriority w:val="1"/>
    <w:pPr>
      <w:widowControl w:val="0"/>
      <w:jc w:val="both"/>
    </w:pPr>
    <w:rPr>
      <w:rFonts w:ascii="Calibri" w:hAnsi="Calibri" w:eastAsia="宋体" w:cs="Times New Roman"/>
      <w:kern w:val="2"/>
      <w:sz w:val="21"/>
      <w:szCs w:val="24"/>
      <w:lang w:val="en-US" w:eastAsia="zh-CN" w:bidi="ar-SA"/>
    </w:rPr>
  </w:style>
  <w:style w:type="paragraph" w:customStyle="1" w:styleId="106">
    <w:name w:val="*正文"/>
    <w:basedOn w:val="1"/>
    <w:qFormat/>
    <w:uiPriority w:val="0"/>
    <w:pPr>
      <w:ind w:firstLine="480" w:firstLineChars="200"/>
    </w:pPr>
    <w:rPr>
      <w:rFonts w:ascii="宋体" w:hAnsi="宋体"/>
      <w:kern w:val="0"/>
      <w:szCs w:val="20"/>
    </w:rPr>
  </w:style>
  <w:style w:type="paragraph" w:styleId="107">
    <w:name w:val="List Paragraph"/>
    <w:basedOn w:val="1"/>
    <w:qFormat/>
    <w:uiPriority w:val="99"/>
    <w:pPr>
      <w:ind w:firstLine="420" w:firstLineChars="200"/>
    </w:pPr>
  </w:style>
  <w:style w:type="paragraph" w:customStyle="1" w:styleId="108">
    <w:name w:val="正文表标题"/>
    <w:next w:val="50"/>
    <w:qFormat/>
    <w:uiPriority w:val="0"/>
    <w:pPr>
      <w:ind w:left="360" w:hanging="360"/>
      <w:jc w:val="center"/>
    </w:pPr>
    <w:rPr>
      <w:rFonts w:ascii="黑体" w:hAnsi="Calibri" w:eastAsia="黑体" w:cs="Times New Roman"/>
      <w:sz w:val="21"/>
      <w:lang w:val="en-US" w:eastAsia="zh-CN" w:bidi="ar-SA"/>
    </w:rPr>
  </w:style>
  <w:style w:type="paragraph" w:customStyle="1" w:styleId="109">
    <w:name w:val="表内文字  居左"/>
    <w:basedOn w:val="1"/>
    <w:qFormat/>
    <w:uiPriority w:val="0"/>
    <w:pPr>
      <w:jc w:val="left"/>
    </w:pPr>
    <w:rPr>
      <w:snapToGrid w:val="0"/>
      <w:szCs w:val="20"/>
    </w:rPr>
  </w:style>
  <w:style w:type="paragraph" w:customStyle="1" w:styleId="110">
    <w:name w:val="列出段落11"/>
    <w:basedOn w:val="1"/>
    <w:qFormat/>
    <w:uiPriority w:val="0"/>
    <w:pPr>
      <w:ind w:firstLine="420" w:firstLineChars="200"/>
    </w:pPr>
  </w:style>
  <w:style w:type="paragraph" w:customStyle="1" w:styleId="111">
    <w:name w:val="_Style 40"/>
    <w:basedOn w:val="2"/>
    <w:next w:val="1"/>
    <w:qFormat/>
    <w:uiPriority w:val="39"/>
    <w:pPr>
      <w:widowControl/>
      <w:numPr>
        <w:numId w:val="0"/>
      </w:numPr>
      <w:snapToGrid/>
      <w:spacing w:before="240" w:line="259" w:lineRule="auto"/>
      <w:jc w:val="left"/>
      <w:outlineLvl w:val="9"/>
    </w:pPr>
    <w:rPr>
      <w:rFonts w:ascii="Calibri Light" w:hAnsi="Calibri Light" w:eastAsia="宋体"/>
      <w:color w:val="2E74B5"/>
      <w:kern w:val="0"/>
      <w:sz w:val="32"/>
      <w:szCs w:val="32"/>
    </w:rPr>
  </w:style>
  <w:style w:type="paragraph" w:customStyle="1" w:styleId="112">
    <w:name w:val="_Style 2"/>
    <w:basedOn w:val="1"/>
    <w:qFormat/>
    <w:uiPriority w:val="0"/>
    <w:pPr>
      <w:widowControl/>
      <w:ind w:firstLine="420" w:firstLineChars="200"/>
      <w:jc w:val="left"/>
    </w:pPr>
    <w:rPr>
      <w:sz w:val="24"/>
    </w:rPr>
  </w:style>
  <w:style w:type="paragraph" w:customStyle="1" w:styleId="113">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customStyle="1" w:styleId="114">
    <w:name w:val="Table Text"/>
    <w:basedOn w:val="1"/>
    <w:qFormat/>
    <w:uiPriority w:val="0"/>
    <w:pPr>
      <w:widowControl/>
      <w:tabs>
        <w:tab w:val="decimal" w:pos="0"/>
      </w:tabs>
      <w:autoSpaceDE w:val="0"/>
      <w:autoSpaceDN w:val="0"/>
      <w:adjustRightInd w:val="0"/>
      <w:spacing w:before="80" w:after="80"/>
    </w:pPr>
    <w:rPr>
      <w:rFonts w:ascii="Arial" w:hAnsi="Arial"/>
      <w:kern w:val="0"/>
      <w:sz w:val="18"/>
      <w:szCs w:val="20"/>
    </w:rPr>
  </w:style>
  <w:style w:type="paragraph" w:customStyle="1" w:styleId="115">
    <w:name w:val="_Style 29"/>
    <w:basedOn w:val="1"/>
    <w:qFormat/>
    <w:uiPriority w:val="34"/>
    <w:pPr>
      <w:ind w:firstLine="420" w:firstLineChars="200"/>
    </w:pPr>
  </w:style>
  <w:style w:type="paragraph" w:customStyle="1" w:styleId="116">
    <w:name w:val="xl52"/>
    <w:basedOn w:val="1"/>
    <w:qFormat/>
    <w:uiPriority w:val="0"/>
    <w:pPr>
      <w:widowControl/>
      <w:spacing w:before="100" w:beforeAutospacing="1" w:after="100" w:afterAutospacing="1"/>
      <w:jc w:val="center"/>
      <w:textAlignment w:val="top"/>
    </w:pPr>
    <w:rPr>
      <w:kern w:val="0"/>
      <w:sz w:val="20"/>
      <w:szCs w:val="20"/>
    </w:rPr>
  </w:style>
  <w:style w:type="paragraph" w:customStyle="1" w:styleId="117">
    <w:name w:val="目次、标准名称标题"/>
    <w:basedOn w:val="1"/>
    <w:next w:val="50"/>
    <w:qFormat/>
    <w:uiPriority w:val="0"/>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8">
    <w:name w:val="Table Text Char Char"/>
    <w:qFormat/>
    <w:uiPriority w:val="0"/>
    <w:pPr>
      <w:snapToGrid w:val="0"/>
      <w:spacing w:before="80" w:after="80"/>
    </w:pPr>
    <w:rPr>
      <w:rFonts w:ascii="Arial" w:hAnsi="Arial" w:eastAsia="宋体" w:cs="Arial"/>
      <w:sz w:val="18"/>
      <w:szCs w:val="18"/>
      <w:lang w:val="en-US" w:eastAsia="zh-CN" w:bidi="ar-SA"/>
    </w:rPr>
  </w:style>
  <w:style w:type="paragraph" w:customStyle="1" w:styleId="119">
    <w:name w:val="正文_0"/>
    <w:qFormat/>
    <w:uiPriority w:val="0"/>
    <w:pPr>
      <w:widowControl w:val="0"/>
      <w:spacing w:line="360" w:lineRule="auto"/>
      <w:jc w:val="both"/>
    </w:pPr>
    <w:rPr>
      <w:rFonts w:ascii="Calibri" w:hAnsi="Calibri" w:eastAsia="宋体" w:cs="Times New Roman"/>
      <w:kern w:val="2"/>
      <w:sz w:val="21"/>
      <w:szCs w:val="24"/>
      <w:lang w:val="en-US" w:eastAsia="zh-CN" w:bidi="ar-SA"/>
    </w:rPr>
  </w:style>
  <w:style w:type="paragraph" w:customStyle="1" w:styleId="120">
    <w:name w:val="Char1"/>
    <w:basedOn w:val="10"/>
    <w:qFormat/>
    <w:uiPriority w:val="0"/>
    <w:pPr>
      <w:shd w:val="clear" w:color="auto" w:fill="000080"/>
    </w:pPr>
    <w:rPr>
      <w:rFonts w:ascii="Times New Roman" w:eastAsia="宋体"/>
      <w:sz w:val="21"/>
      <w:szCs w:val="20"/>
      <w:shd w:val="clear" w:color="auto" w:fill="000080"/>
    </w:rPr>
  </w:style>
  <w:style w:type="paragraph" w:customStyle="1" w:styleId="121">
    <w:name w:val="_Style 0"/>
    <w:qFormat/>
    <w:uiPriority w:val="1"/>
    <w:pPr>
      <w:widowControl w:val="0"/>
      <w:jc w:val="both"/>
    </w:pPr>
    <w:rPr>
      <w:rFonts w:ascii="Calibri" w:hAnsi="Calibri" w:eastAsia="宋体" w:cs="Times New Roman"/>
      <w:kern w:val="2"/>
      <w:sz w:val="21"/>
      <w:szCs w:val="24"/>
      <w:lang w:val="en-US" w:eastAsia="zh-CN" w:bidi="ar-SA"/>
    </w:rPr>
  </w:style>
  <w:style w:type="paragraph" w:customStyle="1" w:styleId="122">
    <w:name w:val="xl5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eastAsia="Arial Unicode MS" w:cs="Arial"/>
      <w:b/>
      <w:bCs/>
      <w:kern w:val="0"/>
      <w:sz w:val="20"/>
      <w:szCs w:val="20"/>
    </w:rPr>
  </w:style>
  <w:style w:type="paragraph" w:customStyle="1" w:styleId="123">
    <w:name w:val="2"/>
    <w:qFormat/>
    <w:uiPriority w:val="1"/>
    <w:pPr>
      <w:widowControl w:val="0"/>
      <w:jc w:val="both"/>
    </w:pPr>
    <w:rPr>
      <w:rFonts w:ascii="Calibri" w:hAnsi="Calibri" w:eastAsia="宋体" w:cs="Times New Roman"/>
      <w:kern w:val="2"/>
      <w:sz w:val="21"/>
      <w:szCs w:val="24"/>
      <w:lang w:val="en-US" w:eastAsia="zh-CN" w:bidi="ar-SA"/>
    </w:rPr>
  </w:style>
  <w:style w:type="paragraph" w:customStyle="1" w:styleId="124">
    <w:name w:val="_Style 1"/>
    <w:qFormat/>
    <w:uiPriority w:val="1"/>
    <w:pPr>
      <w:widowControl w:val="0"/>
      <w:jc w:val="both"/>
    </w:pPr>
    <w:rPr>
      <w:rFonts w:ascii="Calibri" w:hAnsi="Calibri" w:eastAsia="宋体" w:cs="Times New Roman"/>
      <w:kern w:val="2"/>
      <w:sz w:val="21"/>
      <w:szCs w:val="24"/>
      <w:lang w:val="en-US" w:eastAsia="zh-CN" w:bidi="ar-SA"/>
    </w:rPr>
  </w:style>
  <w:style w:type="paragraph" w:customStyle="1" w:styleId="125">
    <w:name w:val="列出段落111"/>
    <w:basedOn w:val="1"/>
    <w:qFormat/>
    <w:uiPriority w:val="0"/>
    <w:pPr>
      <w:ind w:firstLine="420" w:firstLineChars="200"/>
    </w:pPr>
    <w:rPr>
      <w:sz w:val="28"/>
    </w:rPr>
  </w:style>
  <w:style w:type="paragraph" w:customStyle="1" w:styleId="126">
    <w:name w:val="列出段落1"/>
    <w:basedOn w:val="1"/>
    <w:qFormat/>
    <w:uiPriority w:val="34"/>
    <w:pPr>
      <w:ind w:firstLine="420" w:firstLineChars="200"/>
    </w:pPr>
    <w:rPr>
      <w:rFonts w:cs="黑体"/>
      <w:szCs w:val="22"/>
    </w:rPr>
  </w:style>
  <w:style w:type="paragraph" w:customStyle="1" w:styleId="127">
    <w:name w:val="p16"/>
    <w:basedOn w:val="1"/>
    <w:qFormat/>
    <w:uiPriority w:val="0"/>
    <w:pPr>
      <w:widowControl/>
    </w:pPr>
    <w:rPr>
      <w:rFonts w:ascii="宋体" w:hAnsi="宋体" w:cs="宋体"/>
      <w:kern w:val="0"/>
      <w:szCs w:val="21"/>
    </w:rPr>
  </w:style>
  <w:style w:type="paragraph" w:customStyle="1" w:styleId="128">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29">
    <w:name w:val="正文_0_0"/>
    <w:qFormat/>
    <w:uiPriority w:val="0"/>
    <w:pPr>
      <w:widowControl w:val="0"/>
      <w:spacing w:line="360" w:lineRule="auto"/>
      <w:jc w:val="both"/>
    </w:pPr>
    <w:rPr>
      <w:rFonts w:ascii="Calibri" w:hAnsi="Calibri" w:eastAsia="宋体" w:cs="Times New Roman"/>
      <w:kern w:val="2"/>
      <w:sz w:val="21"/>
      <w:szCs w:val="24"/>
      <w:lang w:val="en-US" w:eastAsia="zh-CN" w:bidi="ar-SA"/>
    </w:rPr>
  </w:style>
  <w:style w:type="character" w:customStyle="1" w:styleId="130">
    <w:name w:val="nth-of-type(2)"/>
    <w:basedOn w:val="35"/>
    <w:qFormat/>
    <w:uiPriority w:val="0"/>
  </w:style>
  <w:style w:type="character" w:customStyle="1" w:styleId="131">
    <w:name w:val="nth-of-type(2)1"/>
    <w:basedOn w:val="35"/>
    <w:qFormat/>
    <w:uiPriority w:val="0"/>
    <w:rPr>
      <w:shd w:val="clear" w:color="auto" w:fill="555555"/>
    </w:rPr>
  </w:style>
  <w:style w:type="character" w:customStyle="1" w:styleId="132">
    <w:name w:val="nth-of-type(2)2"/>
    <w:basedOn w:val="35"/>
    <w:qFormat/>
    <w:uiPriority w:val="0"/>
    <w:rPr>
      <w:b/>
      <w:color w:val="000000"/>
      <w:sz w:val="19"/>
      <w:szCs w:val="19"/>
    </w:rPr>
  </w:style>
  <w:style w:type="character" w:customStyle="1" w:styleId="133">
    <w:name w:val="hover45"/>
    <w:basedOn w:val="35"/>
    <w:qFormat/>
    <w:uiPriority w:val="0"/>
    <w:rPr>
      <w:color w:val="1632EF"/>
      <w:u w:val="single"/>
    </w:rPr>
  </w:style>
  <w:style w:type="character" w:customStyle="1" w:styleId="134">
    <w:name w:val="hover46"/>
    <w:basedOn w:val="35"/>
    <w:qFormat/>
    <w:uiPriority w:val="0"/>
  </w:style>
  <w:style w:type="character" w:customStyle="1" w:styleId="135">
    <w:name w:val="hover47"/>
    <w:basedOn w:val="35"/>
    <w:qFormat/>
    <w:uiPriority w:val="0"/>
    <w:rPr>
      <w:u w:val="none"/>
    </w:rPr>
  </w:style>
  <w:style w:type="character" w:customStyle="1" w:styleId="136">
    <w:name w:val="hover48"/>
    <w:basedOn w:val="35"/>
    <w:qFormat/>
    <w:uiPriority w:val="0"/>
    <w:rPr>
      <w:shd w:val="clear" w:color="auto" w:fill="F6F6F6"/>
    </w:rPr>
  </w:style>
  <w:style w:type="character" w:customStyle="1" w:styleId="137">
    <w:name w:val="hover49"/>
    <w:basedOn w:val="35"/>
    <w:qFormat/>
    <w:uiPriority w:val="0"/>
    <w:rPr>
      <w:color w:val="1632EF"/>
      <w:u w:val="single"/>
    </w:rPr>
  </w:style>
  <w:style w:type="character" w:customStyle="1" w:styleId="138">
    <w:name w:val="hover50"/>
    <w:basedOn w:val="35"/>
    <w:qFormat/>
    <w:uiPriority w:val="0"/>
    <w:rPr>
      <w:color w:val="3C88FF"/>
    </w:rPr>
  </w:style>
  <w:style w:type="character" w:customStyle="1" w:styleId="139">
    <w:name w:val="hover51"/>
    <w:basedOn w:val="35"/>
    <w:qFormat/>
    <w:uiPriority w:val="0"/>
    <w:rPr>
      <w:color w:val="3D91FF"/>
    </w:rPr>
  </w:style>
  <w:style w:type="character" w:customStyle="1" w:styleId="140">
    <w:name w:val="hover52"/>
    <w:basedOn w:val="35"/>
    <w:qFormat/>
    <w:uiPriority w:val="0"/>
    <w:rPr>
      <w:color w:val="3C88FF"/>
    </w:rPr>
  </w:style>
  <w:style w:type="character" w:customStyle="1" w:styleId="141">
    <w:name w:val="before"/>
    <w:basedOn w:val="35"/>
    <w:qFormat/>
    <w:uiPriority w:val="0"/>
    <w:rPr>
      <w:shd w:val="clear" w:color="auto" w:fill="EEEEEE"/>
    </w:rPr>
  </w:style>
  <w:style w:type="character" w:customStyle="1" w:styleId="142">
    <w:name w:val="index-headcontent-0ccba"/>
    <w:basedOn w:val="35"/>
    <w:qFormat/>
    <w:uiPriority w:val="0"/>
    <w:rPr>
      <w:vanish/>
    </w:rPr>
  </w:style>
  <w:style w:type="character" w:customStyle="1" w:styleId="143">
    <w:name w:val="nth-child(6)"/>
    <w:basedOn w:val="35"/>
    <w:qFormat/>
    <w:uiPriority w:val="0"/>
    <w:rPr>
      <w:color w:val="FFFFFF"/>
    </w:rPr>
  </w:style>
  <w:style w:type="character" w:customStyle="1" w:styleId="144">
    <w:name w:val="nth-of-type(1)"/>
    <w:basedOn w:val="35"/>
    <w:qFormat/>
    <w:uiPriority w:val="0"/>
  </w:style>
  <w:style w:type="character" w:customStyle="1" w:styleId="145">
    <w:name w:val="nth-of-type(1)1"/>
    <w:basedOn w:val="35"/>
    <w:qFormat/>
    <w:uiPriority w:val="0"/>
    <w:rPr>
      <w:color w:val="FFFFFF"/>
    </w:rPr>
  </w:style>
  <w:style w:type="character" w:customStyle="1" w:styleId="146">
    <w:name w:val="nth-of-type(1)2"/>
    <w:basedOn w:val="35"/>
    <w:qFormat/>
    <w:uiPriority w:val="0"/>
  </w:style>
  <w:style w:type="character" w:customStyle="1" w:styleId="147">
    <w:name w:val="nth-of-type(1)3"/>
    <w:basedOn w:val="35"/>
    <w:qFormat/>
    <w:uiPriority w:val="0"/>
    <w:rPr>
      <w:b/>
      <w:color w:val="2B74FB"/>
      <w:sz w:val="19"/>
      <w:szCs w:val="19"/>
    </w:rPr>
  </w:style>
  <w:style w:type="character" w:customStyle="1" w:styleId="148">
    <w:name w:val="nth-of-type(1)4"/>
    <w:basedOn w:val="35"/>
    <w:qFormat/>
    <w:uiPriority w:val="0"/>
  </w:style>
  <w:style w:type="character" w:customStyle="1" w:styleId="149">
    <w:name w:val="nth-of-type(1)5"/>
    <w:basedOn w:val="35"/>
    <w:qFormat/>
    <w:uiPriority w:val="0"/>
  </w:style>
  <w:style w:type="character" w:customStyle="1" w:styleId="150">
    <w:name w:val="nth-of-type(3)"/>
    <w:basedOn w:val="35"/>
    <w:qFormat/>
    <w:uiPriority w:val="0"/>
    <w:rPr>
      <w:color w:val="FFFFFF"/>
    </w:rPr>
  </w:style>
  <w:style w:type="character" w:customStyle="1" w:styleId="151">
    <w:name w:val="nth-child(3)"/>
    <w:basedOn w:val="35"/>
    <w:qFormat/>
    <w:uiPriority w:val="0"/>
    <w:rPr>
      <w:color w:val="222222"/>
    </w:rPr>
  </w:style>
  <w:style w:type="character" w:customStyle="1" w:styleId="152">
    <w:name w:val="nth-child(3)1"/>
    <w:basedOn w:val="35"/>
    <w:qFormat/>
    <w:uiPriority w:val="0"/>
    <w:rPr>
      <w:color w:val="000000"/>
    </w:rPr>
  </w:style>
  <w:style w:type="character" w:customStyle="1" w:styleId="153">
    <w:name w:val="nth-child(1)2"/>
    <w:basedOn w:val="35"/>
    <w:qFormat/>
    <w:uiPriority w:val="0"/>
    <w:rPr>
      <w:color w:val="999999"/>
    </w:rPr>
  </w:style>
  <w:style w:type="character" w:customStyle="1" w:styleId="154">
    <w:name w:val="nth-child(1)3"/>
    <w:basedOn w:val="35"/>
    <w:qFormat/>
    <w:uiPriority w:val="0"/>
    <w:rPr>
      <w:color w:val="999999"/>
    </w:rPr>
  </w:style>
  <w:style w:type="character" w:customStyle="1" w:styleId="155">
    <w:name w:val="nth-child(1)4"/>
    <w:basedOn w:val="35"/>
    <w:qFormat/>
    <w:uiPriority w:val="0"/>
  </w:style>
  <w:style w:type="character" w:customStyle="1" w:styleId="156">
    <w:name w:val="nth-child(1)5"/>
    <w:basedOn w:val="35"/>
    <w:qFormat/>
    <w:uiPriority w:val="0"/>
  </w:style>
  <w:style w:type="character" w:customStyle="1" w:styleId="157">
    <w:name w:val="nth-child(2)"/>
    <w:basedOn w:val="35"/>
    <w:qFormat/>
    <w:uiPriority w:val="0"/>
  </w:style>
  <w:style w:type="character" w:customStyle="1" w:styleId="158">
    <w:name w:val="nth-child(2)1"/>
    <w:basedOn w:val="35"/>
    <w:qFormat/>
    <w:uiPriority w:val="0"/>
  </w:style>
  <w:style w:type="character" w:customStyle="1" w:styleId="159">
    <w:name w:val="nth-child(4)"/>
    <w:basedOn w:val="35"/>
    <w:qFormat/>
    <w:uiPriority w:val="0"/>
    <w:rPr>
      <w:color w:val="222222"/>
    </w:rPr>
  </w:style>
  <w:style w:type="character" w:customStyle="1" w:styleId="160">
    <w:name w:val="nth-child(4)1"/>
    <w:basedOn w:val="35"/>
    <w:qFormat/>
    <w:uiPriority w:val="0"/>
    <w:rPr>
      <w:color w:val="222222"/>
    </w:rPr>
  </w:style>
  <w:style w:type="character" w:customStyle="1" w:styleId="161">
    <w:name w:val="nth-child(5)"/>
    <w:basedOn w:val="35"/>
    <w:qFormat/>
    <w:uiPriority w:val="0"/>
    <w:rPr>
      <w:color w:val="666666"/>
    </w:rPr>
  </w:style>
  <w:style w:type="character" w:customStyle="1" w:styleId="162">
    <w:name w:val="nth-child(5)1"/>
    <w:basedOn w:val="35"/>
    <w:qFormat/>
    <w:uiPriority w:val="0"/>
    <w:rPr>
      <w:color w:val="666666"/>
    </w:rPr>
  </w:style>
  <w:style w:type="character" w:customStyle="1" w:styleId="163">
    <w:name w:val="index-name-935ff"/>
    <w:basedOn w:val="35"/>
    <w:qFormat/>
    <w:uiPriority w:val="0"/>
    <w:rPr>
      <w:sz w:val="24"/>
      <w:szCs w:val="24"/>
    </w:rPr>
  </w:style>
  <w:style w:type="character" w:customStyle="1" w:styleId="164">
    <w:name w:val="first-child"/>
    <w:basedOn w:val="35"/>
    <w:qFormat/>
    <w:uiPriority w:val="0"/>
    <w:rPr>
      <w:color w:val="FFA800"/>
    </w:rPr>
  </w:style>
  <w:style w:type="character" w:customStyle="1" w:styleId="165">
    <w:name w:val="back"/>
    <w:basedOn w:val="35"/>
    <w:qFormat/>
    <w:uiPriority w:val="0"/>
    <w:rPr>
      <w:shd w:val="clear" w:color="auto" w:fill="111111"/>
    </w:rPr>
  </w:style>
  <w:style w:type="character" w:customStyle="1" w:styleId="166">
    <w:name w:val="back1"/>
    <w:basedOn w:val="35"/>
    <w:qFormat/>
    <w:uiPriority w:val="0"/>
    <w:rPr>
      <w:shd w:val="clear" w:color="auto" w:fill="111111"/>
    </w:rPr>
  </w:style>
  <w:style w:type="character" w:customStyle="1" w:styleId="167">
    <w:name w:val="text"/>
    <w:basedOn w:val="35"/>
    <w:qFormat/>
    <w:uiPriority w:val="0"/>
    <w:rPr>
      <w:color w:val="666666"/>
    </w:rPr>
  </w:style>
  <w:style w:type="character" w:customStyle="1" w:styleId="168">
    <w:name w:val="text1"/>
    <w:basedOn w:val="35"/>
    <w:qFormat/>
    <w:uiPriority w:val="0"/>
    <w:rPr>
      <w:color w:val="666666"/>
    </w:rPr>
  </w:style>
  <w:style w:type="character" w:customStyle="1" w:styleId="169">
    <w:name w:val="adalbumlist-album_ads_tip-3c9b7"/>
    <w:basedOn w:val="35"/>
    <w:qFormat/>
    <w:uiPriority w:val="0"/>
    <w:rPr>
      <w:color w:val="FFFFFF"/>
    </w:rPr>
  </w:style>
  <w:style w:type="character" w:customStyle="1" w:styleId="170">
    <w:name w:val="adalbumlist-btn-841bd"/>
    <w:basedOn w:val="35"/>
    <w:qFormat/>
    <w:uiPriority w:val="0"/>
    <w:rPr>
      <w:color w:val="FFFFFF"/>
      <w:shd w:val="clear" w:color="auto" w:fill="3D91FF"/>
    </w:rPr>
  </w:style>
  <w:style w:type="character" w:customStyle="1" w:styleId="171">
    <w:name w:val="index-select-0a605"/>
    <w:basedOn w:val="35"/>
    <w:qFormat/>
    <w:uiPriority w:val="0"/>
    <w:rPr>
      <w:color w:val="3088FF"/>
    </w:rPr>
  </w:style>
  <w:style w:type="character" w:customStyle="1" w:styleId="172">
    <w:name w:val="index-select-0a6051"/>
    <w:basedOn w:val="35"/>
    <w:qFormat/>
    <w:uiPriority w:val="0"/>
    <w:rPr>
      <w:color w:val="FFFFFF"/>
      <w:shd w:val="clear" w:color="auto" w:fill="3C88FF"/>
    </w:rPr>
  </w:style>
  <w:style w:type="character" w:customStyle="1" w:styleId="173">
    <w:name w:val="after4"/>
    <w:basedOn w:val="35"/>
    <w:qFormat/>
    <w:uiPriority w:val="0"/>
  </w:style>
  <w:style w:type="character" w:customStyle="1" w:styleId="174">
    <w:name w:val="hover2"/>
    <w:basedOn w:val="35"/>
    <w:qFormat/>
    <w:uiPriority w:val="0"/>
  </w:style>
  <w:style w:type="character" w:customStyle="1" w:styleId="175">
    <w:name w:val="hover3"/>
    <w:basedOn w:val="35"/>
    <w:qFormat/>
    <w:uiPriority w:val="0"/>
    <w:rPr>
      <w:u w:val="none"/>
    </w:rPr>
  </w:style>
  <w:style w:type="character" w:customStyle="1" w:styleId="176">
    <w:name w:val="hover4"/>
    <w:basedOn w:val="35"/>
    <w:qFormat/>
    <w:uiPriority w:val="0"/>
    <w:rPr>
      <w:color w:val="1632EF"/>
      <w:u w:val="single"/>
    </w:rPr>
  </w:style>
  <w:style w:type="character" w:customStyle="1" w:styleId="177">
    <w:name w:val="hover5"/>
    <w:basedOn w:val="35"/>
    <w:qFormat/>
    <w:uiPriority w:val="0"/>
    <w:rPr>
      <w:shd w:val="clear" w:color="auto" w:fill="F6F6F6"/>
    </w:rPr>
  </w:style>
  <w:style w:type="character" w:customStyle="1" w:styleId="178">
    <w:name w:val="hover6"/>
    <w:basedOn w:val="35"/>
    <w:qFormat/>
    <w:uiPriority w:val="0"/>
    <w:rPr>
      <w:color w:val="3C88FF"/>
    </w:rPr>
  </w:style>
  <w:style w:type="character" w:customStyle="1" w:styleId="179">
    <w:name w:val="hover7"/>
    <w:basedOn w:val="35"/>
    <w:qFormat/>
    <w:uiPriority w:val="0"/>
    <w:rPr>
      <w:color w:val="1632EF"/>
      <w:u w:val="single"/>
    </w:rPr>
  </w:style>
  <w:style w:type="character" w:customStyle="1" w:styleId="180">
    <w:name w:val="hover8"/>
    <w:basedOn w:val="35"/>
    <w:qFormat/>
    <w:uiPriority w:val="0"/>
    <w:rPr>
      <w:color w:val="3C88FF"/>
    </w:rPr>
  </w:style>
  <w:style w:type="character" w:customStyle="1" w:styleId="181">
    <w:name w:val="hover9"/>
    <w:basedOn w:val="35"/>
    <w:qFormat/>
    <w:uiPriority w:val="0"/>
    <w:rPr>
      <w:color w:val="3D91FF"/>
    </w:rPr>
  </w:style>
  <w:style w:type="character" w:customStyle="1" w:styleId="182">
    <w:name w:val="nth-child(1)"/>
    <w:basedOn w:val="35"/>
    <w:qFormat/>
    <w:uiPriority w:val="0"/>
  </w:style>
  <w:style w:type="character" w:customStyle="1" w:styleId="183">
    <w:name w:val="nth-child(1)1"/>
    <w:basedOn w:val="35"/>
    <w:qFormat/>
    <w:uiPriority w:val="0"/>
  </w:style>
  <w:style w:type="character" w:customStyle="1" w:styleId="184">
    <w:name w:val="before6"/>
    <w:basedOn w:val="35"/>
    <w:qFormat/>
    <w:uiPriority w:val="0"/>
    <w:rPr>
      <w:shd w:val="clear" w:color="auto" w:fill="EEEEEE"/>
    </w:rPr>
  </w:style>
  <w:style w:type="paragraph" w:customStyle="1" w:styleId="185">
    <w:name w:val="BodyText1I"/>
    <w:basedOn w:val="186"/>
    <w:qFormat/>
    <w:uiPriority w:val="0"/>
    <w:pPr>
      <w:ind w:firstLine="420" w:firstLineChars="100"/>
    </w:pPr>
  </w:style>
  <w:style w:type="paragraph" w:customStyle="1" w:styleId="186">
    <w:name w:val="BodyText"/>
    <w:basedOn w:val="1"/>
    <w:next w:val="187"/>
    <w:qFormat/>
    <w:uiPriority w:val="0"/>
    <w:pPr>
      <w:spacing w:line="360" w:lineRule="exact"/>
      <w:textAlignment w:val="baseline"/>
    </w:pPr>
    <w:rPr>
      <w:sz w:val="24"/>
    </w:rPr>
  </w:style>
  <w:style w:type="paragraph" w:customStyle="1" w:styleId="187">
    <w:name w:val="UserStyle_0"/>
    <w:basedOn w:val="188"/>
    <w:next w:val="189"/>
    <w:qFormat/>
    <w:uiPriority w:val="0"/>
    <w:pPr>
      <w:spacing w:line="240" w:lineRule="auto"/>
      <w:ind w:left="420"/>
    </w:pPr>
  </w:style>
  <w:style w:type="paragraph" w:customStyle="1" w:styleId="188">
    <w:name w:val="UserStyle_1"/>
    <w:next w:val="1"/>
    <w:qFormat/>
    <w:uiPriority w:val="0"/>
    <w:pPr>
      <w:spacing w:line="360" w:lineRule="auto"/>
      <w:jc w:val="both"/>
      <w:textAlignment w:val="baseline"/>
    </w:pPr>
    <w:rPr>
      <w:rFonts w:ascii="黑体" w:hAnsi="Times New Roman" w:eastAsia="黑体" w:cs="Times New Roman"/>
      <w:sz w:val="21"/>
      <w:szCs w:val="21"/>
      <w:lang w:val="en-US" w:eastAsia="zh-CN" w:bidi="ar-SA"/>
    </w:rPr>
  </w:style>
  <w:style w:type="paragraph" w:customStyle="1" w:styleId="189">
    <w:name w:val="UserStyle_2"/>
    <w:next w:val="1"/>
    <w:qFormat/>
    <w:uiPriority w:val="0"/>
    <w:pPr>
      <w:ind w:firstLine="200" w:firstLineChars="200"/>
      <w:jc w:val="both"/>
      <w:textAlignment w:val="baseline"/>
    </w:pPr>
    <w:rPr>
      <w:rFonts w:ascii="宋体" w:hAnsi="Times New Roman" w:eastAsia="宋体" w:cs="Times New Roman"/>
      <w:sz w:val="21"/>
      <w:szCs w:val="21"/>
      <w:lang w:val="en-US" w:eastAsia="zh-CN" w:bidi="ar-SA"/>
    </w:rPr>
  </w:style>
  <w:style w:type="paragraph" w:customStyle="1" w:styleId="190">
    <w:name w:val="纯文本1"/>
    <w:basedOn w:val="1"/>
    <w:qFormat/>
    <w:uiPriority w:val="0"/>
    <w:rPr>
      <w:rFonts w:ascii="宋体" w:hAnsi="Courier New"/>
      <w:szCs w:val="21"/>
    </w:rPr>
  </w:style>
  <w:style w:type="paragraph" w:customStyle="1" w:styleId="191">
    <w:name w:val="正文缩进1"/>
    <w:basedOn w:val="1"/>
    <w:qFormat/>
    <w:uiPriority w:val="0"/>
    <w:pPr>
      <w:ind w:firstLine="420"/>
    </w:pPr>
  </w:style>
  <w:style w:type="paragraph" w:customStyle="1" w:styleId="192">
    <w:name w:val="标准中文版式_正文"/>
    <w:basedOn w:val="1"/>
    <w:qFormat/>
    <w:uiPriority w:val="0"/>
    <w:pPr>
      <w:spacing w:before="30" w:line="360" w:lineRule="auto"/>
      <w:ind w:firstLine="200" w:firstLineChars="200"/>
    </w:pPr>
    <w:rPr>
      <w:rFonts w:ascii="Arial" w:hAnsi="Arial"/>
    </w:rPr>
  </w:style>
  <w:style w:type="paragraph" w:customStyle="1" w:styleId="193">
    <w:name w:val="表格文字"/>
    <w:basedOn w:val="1"/>
    <w:qFormat/>
    <w:uiPriority w:val="0"/>
    <w:pPr>
      <w:adjustRightInd w:val="0"/>
      <w:spacing w:line="420" w:lineRule="atLeast"/>
      <w:jc w:val="left"/>
      <w:textAlignment w:val="baseline"/>
    </w:pPr>
    <w:rPr>
      <w:kern w:val="0"/>
      <w:szCs w:val="20"/>
    </w:rPr>
  </w:style>
  <w:style w:type="paragraph" w:customStyle="1" w:styleId="194">
    <w:name w:val="Table Paragraph"/>
    <w:basedOn w:val="1"/>
    <w:qFormat/>
    <w:uiPriority w:val="1"/>
    <w:rPr>
      <w:rFonts w:ascii="宋体" w:hAnsi="宋体" w:cs="宋体"/>
      <w:lang w:val="zh-CN" w:bidi="zh-CN"/>
    </w:rPr>
  </w:style>
  <w:style w:type="paragraph" w:customStyle="1" w:styleId="195">
    <w:name w:val="WPSOffice手动目录 1"/>
    <w:qFormat/>
    <w:uiPriority w:val="0"/>
    <w:pPr>
      <w:ind w:leftChars="0"/>
    </w:pPr>
    <w:rPr>
      <w:rFonts w:ascii="Times New Roman" w:hAnsi="Times New Roman" w:eastAsia="宋体" w:cs="Times New Roman"/>
      <w:sz w:val="20"/>
      <w:szCs w:val="20"/>
    </w:rPr>
  </w:style>
  <w:style w:type="paragraph" w:customStyle="1" w:styleId="196">
    <w:name w:val="WPSOffice手动目录 2"/>
    <w:qFormat/>
    <w:uiPriority w:val="0"/>
    <w:pPr>
      <w:ind w:leftChars="200"/>
    </w:pPr>
    <w:rPr>
      <w:rFonts w:ascii="Times New Roman" w:hAnsi="Times New Roman" w:eastAsia="宋体" w:cs="Times New Roman"/>
      <w:sz w:val="20"/>
      <w:szCs w:val="20"/>
    </w:rPr>
  </w:style>
  <w:style w:type="paragraph" w:customStyle="1" w:styleId="197">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footer4.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59</Pages>
  <Words>7704</Words>
  <Characters>8208</Characters>
  <Lines>209</Lines>
  <Paragraphs>58</Paragraphs>
  <TotalTime>37</TotalTime>
  <ScaleCrop>false</ScaleCrop>
  <LinksUpToDate>false</LinksUpToDate>
  <CharactersWithSpaces>8389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2021-04-20T17:53:00Z</dcterms:created>
  <dc:creator>李青</dc:creator>
  <cp:lastModifiedBy>马斯钿</cp:lastModifiedBy>
  <cp:lastPrinted>2025-06-18T15:51:00Z</cp:lastPrinted>
  <dcterms:modified xsi:type="dcterms:W3CDTF">2025-06-25T09:15:27Z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2C69EED0FE0E2AFD4A625B688E45A8B5_43</vt:lpwstr>
  </property>
  <property fmtid="{D5CDD505-2E9C-101B-9397-08002B2CF9AE}" pid="4" name="KSOTemplateDocerSaveRecord">
    <vt:lpwstr>eyJoZGlkIjoiNWY0ZWVhM2M5MjBiODJhMGE0ZGIwMzllYmU0OTQxOWIiLCJ1c2VySWQiOiI0NTUyMDk0NTQifQ==</vt:lpwstr>
  </property>
</Properties>
</file>